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47B0D" w14:textId="31B9AF64" w:rsidR="00620610" w:rsidRPr="00D8722B" w:rsidRDefault="005C5295" w:rsidP="00620610">
      <w:pPr>
        <w:pStyle w:val="Heading1"/>
        <w:jc w:val="center"/>
      </w:pPr>
      <w:r w:rsidRPr="00D8722B">
        <w:t>Are our laws on freedom of speech fit for purpose in the age of “cancel culture”?</w:t>
      </w:r>
    </w:p>
    <w:p w14:paraId="7130FD91" w14:textId="018B5CE2" w:rsidR="00C17981" w:rsidRPr="00D8722B" w:rsidRDefault="002062D5" w:rsidP="009D3648">
      <w:r w:rsidRPr="00D8722B">
        <w:t>Cancel culture is paradoxical. It is</w:t>
      </w:r>
      <w:r w:rsidR="007D232D" w:rsidRPr="00D8722B">
        <w:t xml:space="preserve"> both a form of and threat to free speech. </w:t>
      </w:r>
      <w:r w:rsidR="007F5EE2" w:rsidRPr="00D8722B">
        <w:t>Consequently</w:t>
      </w:r>
      <w:r w:rsidR="008B6C2A" w:rsidRPr="00D8722B">
        <w:t>, l</w:t>
      </w:r>
      <w:r w:rsidR="007D232D" w:rsidRPr="00D8722B">
        <w:t xml:space="preserve">aw should neither absolutely protect nor absolutely suppress it. Rather, law’s primary role is to </w:t>
      </w:r>
      <w:r w:rsidR="005F1E3F" w:rsidRPr="00D8722B">
        <w:t>foster</w:t>
      </w:r>
      <w:r w:rsidR="007D232D" w:rsidRPr="00D8722B">
        <w:t xml:space="preserve"> a culture that values free speech.</w:t>
      </w:r>
    </w:p>
    <w:p w14:paraId="254868E1" w14:textId="3A80C433" w:rsidR="00082E97" w:rsidRPr="00D8722B" w:rsidRDefault="007D232D" w:rsidP="009D3648">
      <w:r w:rsidRPr="00D8722B">
        <w:t>The essay begins by</w:t>
      </w:r>
      <w:r w:rsidR="009C024A" w:rsidRPr="00D8722B">
        <w:t xml:space="preserve"> </w:t>
      </w:r>
      <w:r w:rsidRPr="00D8722B">
        <w:t>outlining</w:t>
      </w:r>
      <w:r w:rsidR="009C024A" w:rsidRPr="00D8722B">
        <w:t xml:space="preserve"> the nature of free speech</w:t>
      </w:r>
      <w:r w:rsidR="006246E1" w:rsidRPr="00D8722B">
        <w:t xml:space="preserve"> (</w:t>
      </w:r>
      <w:r w:rsidR="006246E1" w:rsidRPr="00D8722B">
        <w:rPr>
          <w:b/>
          <w:bCs/>
        </w:rPr>
        <w:t>I</w:t>
      </w:r>
      <w:r w:rsidR="006246E1" w:rsidRPr="00D8722B">
        <w:t>)</w:t>
      </w:r>
      <w:r w:rsidR="009C024A" w:rsidRPr="00D8722B">
        <w:t xml:space="preserve"> and cancel culture (</w:t>
      </w:r>
      <w:r w:rsidR="006246E1" w:rsidRPr="00D8722B">
        <w:rPr>
          <w:b/>
          <w:bCs/>
        </w:rPr>
        <w:t>I</w:t>
      </w:r>
      <w:r w:rsidR="009C024A" w:rsidRPr="00D8722B">
        <w:rPr>
          <w:b/>
          <w:bCs/>
        </w:rPr>
        <w:t>I</w:t>
      </w:r>
      <w:r w:rsidR="009C024A" w:rsidRPr="00D8722B">
        <w:t xml:space="preserve">). </w:t>
      </w:r>
      <w:r w:rsidRPr="00D8722B">
        <w:t xml:space="preserve">It then addresses the chief difficulty raised by this question: how cancel culture fits within our free speech tradition </w:t>
      </w:r>
      <w:r w:rsidR="00393928" w:rsidRPr="00D8722B">
        <w:t>(</w:t>
      </w:r>
      <w:r w:rsidR="00393928" w:rsidRPr="00D8722B">
        <w:rPr>
          <w:b/>
          <w:bCs/>
        </w:rPr>
        <w:t>I</w:t>
      </w:r>
      <w:r w:rsidR="006246E1" w:rsidRPr="00D8722B">
        <w:rPr>
          <w:b/>
          <w:bCs/>
        </w:rPr>
        <w:t>I</w:t>
      </w:r>
      <w:r w:rsidR="00393928" w:rsidRPr="00D8722B">
        <w:rPr>
          <w:b/>
          <w:bCs/>
        </w:rPr>
        <w:t>I</w:t>
      </w:r>
      <w:r w:rsidR="00393928" w:rsidRPr="00D8722B">
        <w:t>). It finally proposes three</w:t>
      </w:r>
      <w:r w:rsidR="00574E2B" w:rsidRPr="00D8722B">
        <w:t xml:space="preserve"> legal</w:t>
      </w:r>
      <w:r w:rsidR="00393928" w:rsidRPr="00D8722B">
        <w:t xml:space="preserve"> reforms </w:t>
      </w:r>
      <w:r w:rsidR="00762DDF" w:rsidRPr="00D8722B">
        <w:t>(</w:t>
      </w:r>
      <w:r w:rsidR="00762DDF" w:rsidRPr="00D8722B">
        <w:rPr>
          <w:b/>
          <w:bCs/>
        </w:rPr>
        <w:t>I</w:t>
      </w:r>
      <w:r w:rsidR="006246E1" w:rsidRPr="00D8722B">
        <w:rPr>
          <w:b/>
          <w:bCs/>
        </w:rPr>
        <w:t>V</w:t>
      </w:r>
      <w:r w:rsidR="00762DDF" w:rsidRPr="00D8722B">
        <w:t>).</w:t>
      </w:r>
      <w:r w:rsidR="00393928" w:rsidRPr="00D8722B">
        <w:t xml:space="preserve"> </w:t>
      </w:r>
      <w:r w:rsidR="00161B75" w:rsidRPr="00D8722B">
        <w:t xml:space="preserve"> </w:t>
      </w:r>
    </w:p>
    <w:p w14:paraId="39B9CA22" w14:textId="4D191CCF" w:rsidR="00B10D22" w:rsidRPr="00D8722B" w:rsidRDefault="005C5295" w:rsidP="009D3648">
      <w:pPr>
        <w:pStyle w:val="Heading1"/>
      </w:pPr>
      <w:r w:rsidRPr="00D8722B">
        <w:t xml:space="preserve">I. </w:t>
      </w:r>
      <w:r w:rsidR="006246E1" w:rsidRPr="00D8722B">
        <w:t>Free speech</w:t>
      </w:r>
    </w:p>
    <w:p w14:paraId="09A2E2A3" w14:textId="01D64A81" w:rsidR="007849F3" w:rsidRPr="00D8722B" w:rsidRDefault="005F2EC4" w:rsidP="000B47F9">
      <w:r w:rsidRPr="00D8722B">
        <w:t>Crudely, f</w:t>
      </w:r>
      <w:r w:rsidR="00691BDB" w:rsidRPr="00D8722B">
        <w:t>ree</w:t>
      </w:r>
      <w:r w:rsidR="00136884" w:rsidRPr="00D8722B">
        <w:t xml:space="preserve"> speech is the</w:t>
      </w:r>
      <w:r w:rsidR="00085122" w:rsidRPr="00D8722B">
        <w:t xml:space="preserve"> freedom to</w:t>
      </w:r>
      <w:r w:rsidR="007849F3" w:rsidRPr="00D8722B">
        <w:t xml:space="preserve"> ‘</w:t>
      </w:r>
      <w:r w:rsidR="00E47267" w:rsidRPr="00D8722B">
        <w:t>[s]</w:t>
      </w:r>
      <w:r w:rsidR="007849F3" w:rsidRPr="00D8722B">
        <w:t>peak what we feel, not what we ought to say.’</w:t>
      </w:r>
      <w:r w:rsidR="00427B10" w:rsidRPr="00D8722B">
        <w:rPr>
          <w:rStyle w:val="FootnoteReference"/>
        </w:rPr>
        <w:footnoteReference w:id="1"/>
      </w:r>
      <w:r w:rsidR="001F6A9B" w:rsidRPr="00D8722B">
        <w:t xml:space="preserve"> It </w:t>
      </w:r>
      <w:r w:rsidR="00C91BEB" w:rsidRPr="00D8722B">
        <w:t>axiomatically includes</w:t>
      </w:r>
      <w:r w:rsidR="000B47F9" w:rsidRPr="00D8722B">
        <w:t xml:space="preserve"> provocative, heretical and unwelcome speech: </w:t>
      </w:r>
      <w:r w:rsidR="001F6A9B" w:rsidRPr="00D8722B">
        <w:t xml:space="preserve">‘[f]reedom only to speak inoffensively </w:t>
      </w:r>
      <w:r w:rsidR="0032370E" w:rsidRPr="00D8722B">
        <w:t>is</w:t>
      </w:r>
      <w:r w:rsidR="001F6A9B" w:rsidRPr="00D8722B">
        <w:t xml:space="preserve"> not worth having’.</w:t>
      </w:r>
      <w:r w:rsidR="001F6A9B" w:rsidRPr="00D8722B">
        <w:rPr>
          <w:rStyle w:val="FootnoteReference"/>
        </w:rPr>
        <w:footnoteReference w:id="2"/>
      </w:r>
    </w:p>
    <w:p w14:paraId="318E067E" w14:textId="4E7156FD" w:rsidR="00FB7F54" w:rsidRPr="00D8722B" w:rsidRDefault="008265C4" w:rsidP="00B10D22">
      <w:r w:rsidRPr="00D8722B">
        <w:t>In</w:t>
      </w:r>
      <w:r w:rsidR="006159D3" w:rsidRPr="00D8722B">
        <w:t xml:space="preserve"> </w:t>
      </w:r>
      <w:r w:rsidR="008C7F16" w:rsidRPr="00D8722B">
        <w:t>our</w:t>
      </w:r>
      <w:r w:rsidR="006159D3" w:rsidRPr="00D8722B">
        <w:t xml:space="preserve"> thought and law, free speech </w:t>
      </w:r>
      <w:r w:rsidR="000551E7" w:rsidRPr="00D8722B">
        <w:t>rests on several foundations. It promotes the autonomy and self-fulfilment of the individual</w:t>
      </w:r>
      <w:r w:rsidR="009D69FC" w:rsidRPr="00D8722B">
        <w:t xml:space="preserve"> and the </w:t>
      </w:r>
      <w:r w:rsidR="00F23122" w:rsidRPr="00D8722B">
        <w:t xml:space="preserve">wider </w:t>
      </w:r>
      <w:r w:rsidR="009D69FC" w:rsidRPr="00D8722B">
        <w:t>culture.</w:t>
      </w:r>
      <w:r w:rsidR="009D69FC" w:rsidRPr="00D8722B">
        <w:rPr>
          <w:rStyle w:val="FootnoteReference"/>
        </w:rPr>
        <w:footnoteReference w:id="3"/>
      </w:r>
      <w:r w:rsidR="00631579" w:rsidRPr="00D8722B">
        <w:t xml:space="preserve"> It protects minority ideas, opinions and speech from majority or state oppression</w:t>
      </w:r>
      <w:r w:rsidR="00065781" w:rsidRPr="00D8722B">
        <w:t>.</w:t>
      </w:r>
      <w:r w:rsidR="008E3C67" w:rsidRPr="00D8722B">
        <w:rPr>
          <w:rStyle w:val="FootnoteReference"/>
        </w:rPr>
        <w:footnoteReference w:id="4"/>
      </w:r>
      <w:r w:rsidR="00965238" w:rsidRPr="00D8722B">
        <w:t xml:space="preserve"> </w:t>
      </w:r>
      <w:r w:rsidR="00105501" w:rsidRPr="00D8722B">
        <w:t xml:space="preserve">It </w:t>
      </w:r>
      <w:r w:rsidR="00965238" w:rsidRPr="00D8722B">
        <w:t>is</w:t>
      </w:r>
      <w:r w:rsidR="00105501" w:rsidRPr="00D8722B">
        <w:t xml:space="preserve"> therefore</w:t>
      </w:r>
      <w:r w:rsidR="00965238" w:rsidRPr="00D8722B">
        <w:t xml:space="preserve"> essential to pluralism</w:t>
      </w:r>
      <w:r w:rsidR="00105501" w:rsidRPr="00D8722B">
        <w:t xml:space="preserve">, in turn a foundation of liberty and </w:t>
      </w:r>
      <w:r w:rsidR="00C50BE0" w:rsidRPr="00D8722B">
        <w:t>democratic society</w:t>
      </w:r>
      <w:r w:rsidR="00965238" w:rsidRPr="00D8722B">
        <w:t>.</w:t>
      </w:r>
      <w:r w:rsidR="00F425E4" w:rsidRPr="00D8722B">
        <w:rPr>
          <w:rStyle w:val="FootnoteReference"/>
        </w:rPr>
        <w:footnoteReference w:id="5"/>
      </w:r>
      <w:r w:rsidR="00656DB1" w:rsidRPr="00D8722B">
        <w:t xml:space="preserve"> </w:t>
      </w:r>
      <w:r w:rsidR="009D69FC" w:rsidRPr="00D8722B">
        <w:t xml:space="preserve">It </w:t>
      </w:r>
      <w:r w:rsidR="00E82934" w:rsidRPr="00D8722B">
        <w:t>is further crucial to democracy itself.</w:t>
      </w:r>
      <w:r w:rsidR="00E82934" w:rsidRPr="00D8722B">
        <w:rPr>
          <w:rStyle w:val="FootnoteReference"/>
        </w:rPr>
        <w:footnoteReference w:id="6"/>
      </w:r>
    </w:p>
    <w:p w14:paraId="00B412A0" w14:textId="6E31A044" w:rsidR="00B935E9" w:rsidRPr="00D8722B" w:rsidRDefault="008C7F16" w:rsidP="00F42895">
      <w:r w:rsidRPr="00D8722B">
        <w:t>Three points require emphasis</w:t>
      </w:r>
      <w:r w:rsidR="00206001" w:rsidRPr="00D8722B">
        <w:t xml:space="preserve">. </w:t>
      </w:r>
      <w:r w:rsidRPr="00D8722B">
        <w:t xml:space="preserve">First, </w:t>
      </w:r>
      <w:r w:rsidR="00B935E9" w:rsidRPr="00D8722B">
        <w:t xml:space="preserve">minority speech is not protected only, or even principally, for the sake of the minority. It is protected for the potential audience and for society as a whole. </w:t>
      </w:r>
      <w:r w:rsidR="00F42895" w:rsidRPr="00D8722B">
        <w:t xml:space="preserve">It is not simply that the majority may be wrong. Open contestation is the very precondition of the majority’s own </w:t>
      </w:r>
      <w:r w:rsidR="003761B1" w:rsidRPr="00D8722B">
        <w:t>opinion</w:t>
      </w:r>
      <w:r w:rsidR="00F42895" w:rsidRPr="00D8722B">
        <w:t xml:space="preserve">: </w:t>
      </w:r>
      <w:r w:rsidR="00E42579" w:rsidRPr="00D8722B">
        <w:t>‘[t]he beliefs which we have most warrant for, have no safeguard to rest on, but a standing invitation to the whole world to prove them unfounded.’</w:t>
      </w:r>
      <w:r w:rsidR="00140C13" w:rsidRPr="00D8722B">
        <w:rPr>
          <w:rStyle w:val="FootnoteReference"/>
        </w:rPr>
        <w:footnoteReference w:id="7"/>
      </w:r>
    </w:p>
    <w:p w14:paraId="5180E197" w14:textId="5C3BB8CE" w:rsidR="0018691B" w:rsidRPr="00D8722B" w:rsidRDefault="005D289F" w:rsidP="0018691B">
      <w:pPr>
        <w:rPr>
          <w:b/>
          <w:bCs/>
        </w:rPr>
      </w:pPr>
      <w:r w:rsidRPr="00D8722B">
        <w:t>Second</w:t>
      </w:r>
      <w:r w:rsidR="008E6530" w:rsidRPr="00D8722B">
        <w:t>ly</w:t>
      </w:r>
      <w:r w:rsidRPr="00D8722B">
        <w:t>,</w:t>
      </w:r>
      <w:r w:rsidR="00206001" w:rsidRPr="00D8722B">
        <w:t xml:space="preserve"> f</w:t>
      </w:r>
      <w:r w:rsidR="002C5C6C" w:rsidRPr="00D8722B">
        <w:t xml:space="preserve">ree speech is not unlimited. </w:t>
      </w:r>
      <w:r w:rsidR="000961B1" w:rsidRPr="00D8722B">
        <w:t xml:space="preserve">What is important for our purposes is that limitations on free speech may be necessary </w:t>
      </w:r>
      <w:r w:rsidR="000961B1" w:rsidRPr="00D8722B">
        <w:rPr>
          <w:i/>
          <w:iCs/>
        </w:rPr>
        <w:t xml:space="preserve">to enable </w:t>
      </w:r>
      <w:r w:rsidR="000961B1" w:rsidRPr="00D8722B">
        <w:t>free speech.</w:t>
      </w:r>
      <w:r w:rsidR="002230D6" w:rsidRPr="00D8722B">
        <w:t xml:space="preserve"> </w:t>
      </w:r>
      <w:r w:rsidR="00031D3C" w:rsidRPr="00D8722B">
        <w:t xml:space="preserve">‘At a minimum, speech will have to be </w:t>
      </w:r>
      <w:r w:rsidR="00031D3C" w:rsidRPr="00D8722B">
        <w:lastRenderedPageBreak/>
        <w:t>limited for the sake of order. If we all speak at once, we end up with an incoherent noise.’</w:t>
      </w:r>
      <w:r w:rsidR="00031D3C" w:rsidRPr="00D8722B">
        <w:rPr>
          <w:rStyle w:val="FootnoteReference"/>
        </w:rPr>
        <w:footnoteReference w:id="8"/>
      </w:r>
      <w:r w:rsidR="00F315A7" w:rsidRPr="00D8722B">
        <w:t xml:space="preserve"> </w:t>
      </w:r>
      <w:r w:rsidR="0006157D" w:rsidRPr="00D8722B">
        <w:t xml:space="preserve">One might </w:t>
      </w:r>
      <w:r w:rsidR="00330793" w:rsidRPr="00D8722B">
        <w:t>conceive</w:t>
      </w:r>
      <w:r w:rsidR="0006157D" w:rsidRPr="00D8722B">
        <w:t xml:space="preserve"> defamation law, for instance, as </w:t>
      </w:r>
      <w:r w:rsidR="00330793" w:rsidRPr="00D8722B">
        <w:t>partly protecting</w:t>
      </w:r>
      <w:r w:rsidR="0018691B" w:rsidRPr="00D8722B">
        <w:t xml:space="preserve"> </w:t>
      </w:r>
      <w:r w:rsidR="008B2D3F" w:rsidRPr="00D8722B">
        <w:t>the</w:t>
      </w:r>
      <w:r w:rsidR="00252C34" w:rsidRPr="00D8722B">
        <w:t xml:space="preserve"> ability to participate in open debate</w:t>
      </w:r>
      <w:r w:rsidR="0018691B" w:rsidRPr="00D8722B">
        <w:t>; without it, ‘it would be enough to annoy a falsely pious man or an irritable fanatic, to be cruelly destroyed by his pen.’</w:t>
      </w:r>
      <w:r w:rsidR="007A089E" w:rsidRPr="00D8722B">
        <w:rPr>
          <w:rStyle w:val="FootnoteReference"/>
        </w:rPr>
        <w:footnoteReference w:id="9"/>
      </w:r>
    </w:p>
    <w:p w14:paraId="1FB2392E" w14:textId="286F917C" w:rsidR="003F3443" w:rsidRPr="00D8722B" w:rsidRDefault="005C05B7" w:rsidP="008733A6">
      <w:pPr>
        <w:rPr>
          <w:b/>
          <w:bCs/>
        </w:rPr>
      </w:pPr>
      <w:r w:rsidRPr="00D8722B">
        <w:t>Third</w:t>
      </w:r>
      <w:r w:rsidR="008E6530" w:rsidRPr="00D8722B">
        <w:t>ly</w:t>
      </w:r>
      <w:r w:rsidR="00206001" w:rsidRPr="00D8722B">
        <w:t xml:space="preserve">, </w:t>
      </w:r>
      <w:r w:rsidR="00E67F14" w:rsidRPr="00D8722B">
        <w:t>free speech is a value as much as a legal principle.</w:t>
      </w:r>
      <w:r w:rsidR="003F3443" w:rsidRPr="00D8722B">
        <w:t xml:space="preserve"> </w:t>
      </w:r>
      <w:r w:rsidR="00411BB0" w:rsidRPr="00D8722B">
        <w:t>This value</w:t>
      </w:r>
      <w:r w:rsidR="00AC6CEC" w:rsidRPr="00D8722B">
        <w:t xml:space="preserve"> </w:t>
      </w:r>
      <w:r w:rsidR="00F570AB" w:rsidRPr="00D8722B">
        <w:t xml:space="preserve">can be undermined by private actors, individually or collectively. </w:t>
      </w:r>
      <w:r w:rsidR="004F7DCE" w:rsidRPr="00D8722B">
        <w:t>The</w:t>
      </w:r>
      <w:r w:rsidR="003F3443" w:rsidRPr="00D8722B">
        <w:t xml:space="preserve"> English tradition</w:t>
      </w:r>
      <w:r w:rsidR="00CA6905" w:rsidRPr="00D8722B">
        <w:t xml:space="preserve"> emphasises that</w:t>
      </w:r>
      <w:r w:rsidR="003F3443" w:rsidRPr="00D8722B">
        <w:t xml:space="preserve"> social control </w:t>
      </w:r>
      <w:r w:rsidR="004F7DCE" w:rsidRPr="00D8722B">
        <w:t>is</w:t>
      </w:r>
      <w:r w:rsidR="003F3443" w:rsidRPr="00D8722B">
        <w:t xml:space="preserve"> ‘as efficacious as law; men might as well be imprisoned, as excluded from the means of earning their bread</w:t>
      </w:r>
      <w:r w:rsidR="008733A6" w:rsidRPr="00D8722B">
        <w:t>’.</w:t>
      </w:r>
      <w:r w:rsidR="003F3443" w:rsidRPr="00D8722B">
        <w:rPr>
          <w:rStyle w:val="FootnoteReference"/>
        </w:rPr>
        <w:footnoteReference w:id="10"/>
      </w:r>
    </w:p>
    <w:p w14:paraId="462692E1" w14:textId="0D555884" w:rsidR="005C5295" w:rsidRPr="00D8722B" w:rsidRDefault="006246E1" w:rsidP="006246E1">
      <w:pPr>
        <w:pStyle w:val="Heading1"/>
      </w:pPr>
      <w:r w:rsidRPr="00D8722B">
        <w:t xml:space="preserve">II. </w:t>
      </w:r>
      <w:r w:rsidR="005C5295" w:rsidRPr="00D8722B">
        <w:t>Cancel culture</w:t>
      </w:r>
    </w:p>
    <w:p w14:paraId="0484CD98" w14:textId="0C5391CA" w:rsidR="006E610C" w:rsidRPr="00D8722B" w:rsidRDefault="00F47367" w:rsidP="009D3648">
      <w:r w:rsidRPr="00D8722B">
        <w:t>In keeping with the title, this essay</w:t>
      </w:r>
      <w:r w:rsidR="000A47C2" w:rsidRPr="00D8722B">
        <w:t xml:space="preserve"> will assume</w:t>
      </w:r>
      <w:r w:rsidR="005E37D9" w:rsidRPr="00D8722B">
        <w:t xml:space="preserve"> that we are in an age of cancel culture.</w:t>
      </w:r>
      <w:r w:rsidR="00EB55DE" w:rsidRPr="00D8722B">
        <w:t xml:space="preserve"> </w:t>
      </w:r>
      <w:r w:rsidR="00E7259B" w:rsidRPr="00D8722B">
        <w:t xml:space="preserve">It will therefore not address </w:t>
      </w:r>
      <w:r w:rsidR="00CC7ACF" w:rsidRPr="00D8722B">
        <w:t>arguments</w:t>
      </w:r>
      <w:r w:rsidR="00E7259B" w:rsidRPr="00D8722B">
        <w:t xml:space="preserve"> that cancel culture does not exist, is exaggerated or is nothing new.</w:t>
      </w:r>
      <w:r w:rsidR="005846F7" w:rsidRPr="00D8722B">
        <w:t xml:space="preserve"> </w:t>
      </w:r>
      <w:r w:rsidR="00F95A99" w:rsidRPr="00D8722B">
        <w:t>It will take as its starting point Alexander’s definition: ‘</w:t>
      </w:r>
      <w:r w:rsidR="005846F7" w:rsidRPr="00D8722B">
        <w:t>[i]</w:t>
      </w:r>
      <w:r w:rsidR="00F95A99" w:rsidRPr="00D8722B">
        <w:t xml:space="preserve">ts </w:t>
      </w:r>
      <w:r w:rsidR="009D3648" w:rsidRPr="00D8722B">
        <w:t>purest</w:t>
      </w:r>
      <w:r w:rsidR="00F95A99" w:rsidRPr="00D8722B">
        <w:t xml:space="preserve"> definition is the boycotting of a person or organisation because of an objectionable comment or act.’</w:t>
      </w:r>
      <w:r w:rsidR="00B8396D" w:rsidRPr="00D8722B">
        <w:rPr>
          <w:rStyle w:val="FootnoteReference"/>
        </w:rPr>
        <w:footnoteReference w:id="11"/>
      </w:r>
    </w:p>
    <w:p w14:paraId="6A0BFBFE" w14:textId="314EAE32" w:rsidR="00836474" w:rsidRPr="00D8722B" w:rsidRDefault="00E7051B" w:rsidP="009D3648">
      <w:r w:rsidRPr="00D8722B">
        <w:t>Three</w:t>
      </w:r>
      <w:r w:rsidR="009D3648" w:rsidRPr="00D8722B">
        <w:t xml:space="preserve"> </w:t>
      </w:r>
      <w:r w:rsidR="005E7A2B" w:rsidRPr="00D8722B">
        <w:t>nuances</w:t>
      </w:r>
      <w:r w:rsidR="009D3648" w:rsidRPr="00D8722B">
        <w:t xml:space="preserve"> are </w:t>
      </w:r>
      <w:r w:rsidR="005E7A2B" w:rsidRPr="00D8722B">
        <w:t>necessary</w:t>
      </w:r>
      <w:r w:rsidR="009D3648" w:rsidRPr="00D8722B">
        <w:t xml:space="preserve">. First, cancel culture is primarily about </w:t>
      </w:r>
      <w:r w:rsidR="009D3648" w:rsidRPr="00D8722B">
        <w:rPr>
          <w:i/>
          <w:iCs/>
        </w:rPr>
        <w:t>calls</w:t>
      </w:r>
      <w:r w:rsidR="00AA44DB" w:rsidRPr="00D8722B">
        <w:rPr>
          <w:i/>
          <w:iCs/>
        </w:rPr>
        <w:t xml:space="preserve"> </w:t>
      </w:r>
      <w:r w:rsidR="00AA44DB" w:rsidRPr="00D8722B">
        <w:t xml:space="preserve">and </w:t>
      </w:r>
      <w:r w:rsidR="00AA44DB" w:rsidRPr="00D8722B">
        <w:rPr>
          <w:i/>
          <w:iCs/>
        </w:rPr>
        <w:t>pressure</w:t>
      </w:r>
      <w:r w:rsidR="009D3648" w:rsidRPr="00D8722B">
        <w:rPr>
          <w:i/>
          <w:iCs/>
        </w:rPr>
        <w:t xml:space="preserve"> </w:t>
      </w:r>
      <w:r w:rsidR="009D3648" w:rsidRPr="00D8722B">
        <w:t xml:space="preserve">for boycotting or ‘cancellation’, not merely the </w:t>
      </w:r>
      <w:r w:rsidR="009D3648" w:rsidRPr="00D8722B">
        <w:rPr>
          <w:i/>
          <w:iCs/>
        </w:rPr>
        <w:t>acts</w:t>
      </w:r>
      <w:r w:rsidR="009D3648" w:rsidRPr="00D8722B">
        <w:t xml:space="preserve"> of boycotting</w:t>
      </w:r>
      <w:r w:rsidR="00C26C20" w:rsidRPr="00D8722B">
        <w:t xml:space="preserve">, </w:t>
      </w:r>
      <w:r w:rsidR="00EC531D" w:rsidRPr="00D8722B">
        <w:t>disinvitation</w:t>
      </w:r>
      <w:r w:rsidR="00BE20B4" w:rsidRPr="00D8722B">
        <w:t>, dismissal or removal from sale</w:t>
      </w:r>
      <w:r w:rsidR="009D3648" w:rsidRPr="00D8722B">
        <w:t xml:space="preserve"> which</w:t>
      </w:r>
      <w:r w:rsidR="00C70859" w:rsidRPr="00D8722B">
        <w:t xml:space="preserve"> frequently</w:t>
      </w:r>
      <w:r w:rsidR="009D3648" w:rsidRPr="00D8722B">
        <w:t xml:space="preserve"> follow. </w:t>
      </w:r>
      <w:r w:rsidR="00401539" w:rsidRPr="00D8722B">
        <w:t>Cancel culture thus falls at the midpoint of a spectrum of private action to control speech, with ‘call-out culture’</w:t>
      </w:r>
      <w:r w:rsidR="00E43216" w:rsidRPr="00D8722B">
        <w:t>– publicly condemning perceived transgressions</w:t>
      </w:r>
      <w:r w:rsidR="003F10B4" w:rsidRPr="00D8722B">
        <w:t xml:space="preserve"> without calling for punishment</w:t>
      </w:r>
      <w:r w:rsidR="00E43216" w:rsidRPr="00D8722B">
        <w:t xml:space="preserve"> – at one </w:t>
      </w:r>
      <w:r w:rsidR="00A42B1A" w:rsidRPr="00D8722B">
        <w:t>end</w:t>
      </w:r>
      <w:r w:rsidR="00E43216" w:rsidRPr="00D8722B">
        <w:t xml:space="preserve">, and the </w:t>
      </w:r>
      <w:r w:rsidR="00435605" w:rsidRPr="00D8722B">
        <w:t xml:space="preserve">advocacy or </w:t>
      </w:r>
      <w:r w:rsidR="00E43216" w:rsidRPr="00D8722B">
        <w:t xml:space="preserve">use of violence </w:t>
      </w:r>
      <w:r w:rsidR="00435605" w:rsidRPr="00D8722B">
        <w:t xml:space="preserve">at </w:t>
      </w:r>
      <w:r w:rsidR="00422B61" w:rsidRPr="00D8722B">
        <w:t>the other</w:t>
      </w:r>
      <w:r w:rsidR="00435605" w:rsidRPr="00D8722B">
        <w:t>.</w:t>
      </w:r>
      <w:r w:rsidR="00DC69DB" w:rsidRPr="00D8722B">
        <w:t xml:space="preserve"> </w:t>
      </w:r>
      <w:r w:rsidR="00786ED9" w:rsidRPr="00D8722B">
        <w:t>Cancel culture</w:t>
      </w:r>
      <w:r w:rsidR="00DC69DB" w:rsidRPr="00D8722B">
        <w:t xml:space="preserve"> seeks to </w:t>
      </w:r>
      <w:r w:rsidR="00733CC1" w:rsidRPr="00D8722B">
        <w:t>impose speech norms</w:t>
      </w:r>
      <w:r w:rsidR="00DC69DB" w:rsidRPr="00D8722B">
        <w:t xml:space="preserve"> </w:t>
      </w:r>
      <w:r w:rsidR="00FB14AB" w:rsidRPr="00D8722B">
        <w:t xml:space="preserve">using social and economic </w:t>
      </w:r>
      <w:r w:rsidR="00320EB8" w:rsidRPr="00D8722B">
        <w:t>coercion</w:t>
      </w:r>
      <w:r w:rsidR="00A42B1A" w:rsidRPr="00D8722B">
        <w:t>, not</w:t>
      </w:r>
      <w:r w:rsidR="00287E7B" w:rsidRPr="00D8722B">
        <w:t xml:space="preserve"> persuasion or</w:t>
      </w:r>
      <w:r w:rsidR="00DC69DB" w:rsidRPr="00D8722B">
        <w:t xml:space="preserve"> violence.</w:t>
      </w:r>
      <w:r w:rsidR="00435605" w:rsidRPr="00D8722B">
        <w:t xml:space="preserve"> </w:t>
      </w:r>
    </w:p>
    <w:p w14:paraId="6F7F2A72" w14:textId="20517C70" w:rsidR="005C5295" w:rsidRPr="00D8722B" w:rsidRDefault="009D3648" w:rsidP="009D3648">
      <w:r w:rsidRPr="00D8722B">
        <w:t>Second</w:t>
      </w:r>
      <w:r w:rsidR="00285239" w:rsidRPr="00D8722B">
        <w:t>ly</w:t>
      </w:r>
      <w:r w:rsidRPr="00D8722B">
        <w:t xml:space="preserve">, the word ‘culture’ is important: </w:t>
      </w:r>
      <w:r w:rsidR="007E1088" w:rsidRPr="00D8722B">
        <w:t>cancel culture</w:t>
      </w:r>
      <w:r w:rsidR="00FF4123" w:rsidRPr="00D8722B">
        <w:t xml:space="preserve"> is the</w:t>
      </w:r>
      <w:r w:rsidR="007E1088" w:rsidRPr="00D8722B">
        <w:t xml:space="preserve"> </w:t>
      </w:r>
      <w:r w:rsidR="00325FAB" w:rsidRPr="00D8722B">
        <w:rPr>
          <w:i/>
          <w:iCs/>
        </w:rPr>
        <w:t>systematic</w:t>
      </w:r>
      <w:r w:rsidR="003A3441" w:rsidRPr="00D8722B">
        <w:rPr>
          <w:i/>
          <w:iCs/>
        </w:rPr>
        <w:t xml:space="preserve"> </w:t>
      </w:r>
      <w:r w:rsidR="00563289" w:rsidRPr="00D8722B">
        <w:t xml:space="preserve">and </w:t>
      </w:r>
      <w:r w:rsidR="00563289" w:rsidRPr="00D8722B">
        <w:rPr>
          <w:i/>
          <w:iCs/>
        </w:rPr>
        <w:t xml:space="preserve">disproportionate </w:t>
      </w:r>
      <w:r w:rsidR="00325FAB" w:rsidRPr="00D8722B">
        <w:t>use of this tool by one sector of society</w:t>
      </w:r>
      <w:r w:rsidR="006C34FD" w:rsidRPr="00D8722B">
        <w:t xml:space="preserve"> – </w:t>
      </w:r>
      <w:r w:rsidR="00836474" w:rsidRPr="00D8722B">
        <w:t>amplified</w:t>
      </w:r>
      <w:r w:rsidR="006C34FD" w:rsidRPr="00D8722B">
        <w:t xml:space="preserve"> by social media –</w:t>
      </w:r>
      <w:r w:rsidR="007A113F" w:rsidRPr="00D8722B">
        <w:t xml:space="preserve"> </w:t>
      </w:r>
      <w:r w:rsidR="00AB2DA6" w:rsidRPr="00D8722B">
        <w:t>in a way that</w:t>
      </w:r>
      <w:r w:rsidR="00523282" w:rsidRPr="00D8722B">
        <w:t xml:space="preserve"> </w:t>
      </w:r>
      <w:r w:rsidR="00140017" w:rsidRPr="00D8722B">
        <w:t>undermine</w:t>
      </w:r>
      <w:r w:rsidR="00AB2DA6" w:rsidRPr="00D8722B">
        <w:t>s</w:t>
      </w:r>
      <w:r w:rsidR="00140017" w:rsidRPr="00D8722B">
        <w:t xml:space="preserve"> pluralism</w:t>
      </w:r>
      <w:r w:rsidR="005A5249" w:rsidRPr="00D8722B">
        <w:t xml:space="preserve"> and </w:t>
      </w:r>
      <w:r w:rsidR="00140017" w:rsidRPr="00D8722B">
        <w:t>open debate</w:t>
      </w:r>
      <w:r w:rsidR="00325FAB" w:rsidRPr="00D8722B">
        <w:t>.</w:t>
      </w:r>
      <w:r w:rsidR="00FF4123" w:rsidRPr="00D8722B">
        <w:t xml:space="preserve"> </w:t>
      </w:r>
      <w:r w:rsidR="00345B63" w:rsidRPr="00D8722B">
        <w:t>As the Harper’s letter put it: ‘</w:t>
      </w:r>
      <w:r w:rsidR="00F70FEA" w:rsidRPr="00D8722B">
        <w:t>[w]</w:t>
      </w:r>
      <w:r w:rsidR="00345B63" w:rsidRPr="00D8722B">
        <w:t xml:space="preserve">hatever the arguments around each </w:t>
      </w:r>
      <w:r w:rsidR="00345B63" w:rsidRPr="00D8722B">
        <w:lastRenderedPageBreak/>
        <w:t>particular incident, the result has been to steadily narrow the boundaries of what can be said</w:t>
      </w:r>
      <w:r w:rsidR="003A3441" w:rsidRPr="00D8722B">
        <w:t>…’</w:t>
      </w:r>
      <w:r w:rsidR="00306DBB" w:rsidRPr="00D8722B">
        <w:t>.</w:t>
      </w:r>
      <w:r w:rsidR="00311205" w:rsidRPr="00D8722B">
        <w:rPr>
          <w:rStyle w:val="FootnoteReference"/>
        </w:rPr>
        <w:footnoteReference w:id="12"/>
      </w:r>
    </w:p>
    <w:p w14:paraId="1D14FA64" w14:textId="6FE5BD2B" w:rsidR="00E7051B" w:rsidRPr="00D8722B" w:rsidRDefault="00E7051B" w:rsidP="005A04B1">
      <w:r w:rsidRPr="00D8722B">
        <w:t>Third</w:t>
      </w:r>
      <w:r w:rsidR="00285239" w:rsidRPr="00D8722B">
        <w:t>ly</w:t>
      </w:r>
      <w:r w:rsidRPr="00D8722B">
        <w:t xml:space="preserve">, </w:t>
      </w:r>
      <w:r w:rsidR="005B4421" w:rsidRPr="00D8722B">
        <w:t xml:space="preserve">today’s </w:t>
      </w:r>
      <w:r w:rsidRPr="00D8722B">
        <w:t>cancel culture purports to protect minorities</w:t>
      </w:r>
      <w:r w:rsidR="002E0FF7" w:rsidRPr="00D8722B">
        <w:t xml:space="preserve"> against a hegemonic order that</w:t>
      </w:r>
      <w:r w:rsidR="00853117" w:rsidRPr="00D8722B">
        <w:t xml:space="preserve"> has long marginalised and silenced their voices</w:t>
      </w:r>
      <w:r w:rsidRPr="00D8722B">
        <w:t xml:space="preserve">. </w:t>
      </w:r>
      <w:r w:rsidR="002E0FF7" w:rsidRPr="00D8722B">
        <w:t>For its defenders, this is all that is new:</w:t>
      </w:r>
      <w:r w:rsidR="00B344EF" w:rsidRPr="00D8722B">
        <w:t xml:space="preserve"> a response to the Harper’s letter, for instance, argued that</w:t>
      </w:r>
      <w:r w:rsidR="002E0FF7" w:rsidRPr="00D8722B">
        <w:t xml:space="preserve"> </w:t>
      </w:r>
      <w:r w:rsidR="00B344EF" w:rsidRPr="00D8722B">
        <w:t>minorities ‘can now critique elites publicly and hold them accountable socially; this seems to be the letter’s greatest concern.’</w:t>
      </w:r>
      <w:r w:rsidR="0026553F" w:rsidRPr="00D8722B">
        <w:rPr>
          <w:rStyle w:val="FootnoteReference"/>
        </w:rPr>
        <w:footnoteReference w:id="13"/>
      </w:r>
      <w:r w:rsidR="0026553F" w:rsidRPr="00D8722B">
        <w:t xml:space="preserve"> </w:t>
      </w:r>
      <w:r w:rsidR="002B7D43" w:rsidRPr="00D8722B">
        <w:t>Yet cancel culture’s force</w:t>
      </w:r>
      <w:r w:rsidRPr="00D8722B">
        <w:t xml:space="preserve"> derives from its use of culturally salient accusations (of racism, sexism, transphobia and so on)</w:t>
      </w:r>
      <w:r w:rsidR="00F66446" w:rsidRPr="00D8722B">
        <w:t xml:space="preserve"> which </w:t>
      </w:r>
      <w:r w:rsidR="00B95074" w:rsidRPr="00D8722B">
        <w:t>allege</w:t>
      </w:r>
      <w:r w:rsidR="00F66446" w:rsidRPr="00D8722B">
        <w:t xml:space="preserve"> violations of the core state value of equality. </w:t>
      </w:r>
      <w:r w:rsidR="00332057" w:rsidRPr="00D8722B">
        <w:t>T</w:t>
      </w:r>
      <w:r w:rsidR="00BB2055" w:rsidRPr="00D8722B">
        <w:t xml:space="preserve">he </w:t>
      </w:r>
      <w:r w:rsidR="00E54D2F" w:rsidRPr="00D8722B">
        <w:t>state itself</w:t>
      </w:r>
      <w:r w:rsidR="006E5ECF" w:rsidRPr="00D8722B">
        <w:t xml:space="preserve"> </w:t>
      </w:r>
      <w:r w:rsidR="00BB2055" w:rsidRPr="00D8722B">
        <w:t xml:space="preserve">imposes far-reaching </w:t>
      </w:r>
      <w:r w:rsidR="00CB6C3C" w:rsidRPr="00D8722B">
        <w:t>limitations</w:t>
      </w:r>
      <w:r w:rsidR="00BB2055" w:rsidRPr="00D8722B">
        <w:t xml:space="preserve"> on liberty and free speech </w:t>
      </w:r>
      <w:r w:rsidR="00F93871" w:rsidRPr="00D8722B">
        <w:t>to enforce</w:t>
      </w:r>
      <w:r w:rsidR="00BB2055" w:rsidRPr="00D8722B">
        <w:t xml:space="preserve"> </w:t>
      </w:r>
      <w:r w:rsidR="00CB6C3C" w:rsidRPr="00D8722B">
        <w:t>that value</w:t>
      </w:r>
      <w:r w:rsidRPr="00D8722B">
        <w:t>.</w:t>
      </w:r>
      <w:r w:rsidR="005B4421" w:rsidRPr="00D8722B">
        <w:t xml:space="preserve"> Nothing prevents </w:t>
      </w:r>
      <w:r w:rsidR="00B95074" w:rsidRPr="00D8722B">
        <w:t xml:space="preserve">cancel </w:t>
      </w:r>
      <w:r w:rsidR="00D00711" w:rsidRPr="00D8722B">
        <w:t>culture being used by other sectors of society to enforce other salient values.</w:t>
      </w:r>
    </w:p>
    <w:p w14:paraId="0FD2E68C" w14:textId="17DAC5F1" w:rsidR="00E17113" w:rsidRPr="00D8722B" w:rsidRDefault="00E17113" w:rsidP="009D3648">
      <w:pPr>
        <w:rPr>
          <w:b/>
          <w:bCs/>
        </w:rPr>
      </w:pPr>
      <w:r w:rsidRPr="00D8722B">
        <w:rPr>
          <w:b/>
          <w:bCs/>
        </w:rPr>
        <w:t>I</w:t>
      </w:r>
      <w:r w:rsidR="006246E1" w:rsidRPr="00D8722B">
        <w:rPr>
          <w:b/>
          <w:bCs/>
        </w:rPr>
        <w:t>I</w:t>
      </w:r>
      <w:r w:rsidRPr="00D8722B">
        <w:rPr>
          <w:b/>
          <w:bCs/>
        </w:rPr>
        <w:t>I.</w:t>
      </w:r>
      <w:r w:rsidR="006246E1" w:rsidRPr="00D8722B">
        <w:rPr>
          <w:b/>
          <w:bCs/>
        </w:rPr>
        <w:t xml:space="preserve"> </w:t>
      </w:r>
      <w:r w:rsidR="00C70394" w:rsidRPr="00D8722B">
        <w:rPr>
          <w:b/>
          <w:bCs/>
        </w:rPr>
        <w:t>Free sp</w:t>
      </w:r>
      <w:r w:rsidR="006246E1" w:rsidRPr="00D8722B">
        <w:rPr>
          <w:b/>
          <w:bCs/>
        </w:rPr>
        <w:t>eech and cancel culture</w:t>
      </w:r>
    </w:p>
    <w:p w14:paraId="2E57812B" w14:textId="20BED62A" w:rsidR="00D05BA9" w:rsidRPr="00D8722B" w:rsidRDefault="00C25900" w:rsidP="009D3648">
      <w:r w:rsidRPr="00D8722B">
        <w:t xml:space="preserve">Given </w:t>
      </w:r>
      <w:r w:rsidR="000C7E72" w:rsidRPr="00D8722B">
        <w:t>this</w:t>
      </w:r>
      <w:r w:rsidRPr="00D8722B">
        <w:t xml:space="preserve"> understanding of free speech, how should English law and society approach cancel culture?</w:t>
      </w:r>
      <w:r w:rsidR="00457F26" w:rsidRPr="00D8722B">
        <w:t xml:space="preserve"> Three broad approaches can be sketched. This essay argue</w:t>
      </w:r>
      <w:r w:rsidR="00C84118" w:rsidRPr="00D8722B">
        <w:t>s</w:t>
      </w:r>
      <w:r w:rsidR="00457F26" w:rsidRPr="00D8722B">
        <w:t xml:space="preserve"> for the third.</w:t>
      </w:r>
    </w:p>
    <w:p w14:paraId="385B04CC" w14:textId="63A42204" w:rsidR="00734C72" w:rsidRPr="00D8722B" w:rsidRDefault="00734C72" w:rsidP="00734C72">
      <w:pPr>
        <w:pStyle w:val="Heading2"/>
        <w:numPr>
          <w:ilvl w:val="0"/>
          <w:numId w:val="0"/>
        </w:numPr>
        <w:ind w:left="284" w:hanging="284"/>
        <w:rPr>
          <w:rFonts w:ascii="Times New Roman" w:hAnsi="Times New Roman" w:cs="Times New Roman"/>
        </w:rPr>
      </w:pPr>
      <w:r w:rsidRPr="00D8722B">
        <w:rPr>
          <w:rFonts w:ascii="Times New Roman" w:hAnsi="Times New Roman" w:cs="Times New Roman"/>
        </w:rPr>
        <w:t>1. The free speech case for cancel culture</w:t>
      </w:r>
    </w:p>
    <w:p w14:paraId="47280DA3" w14:textId="4D7DFBE3" w:rsidR="00E747B5" w:rsidRPr="00D8722B" w:rsidRDefault="00521E6A" w:rsidP="009D3648">
      <w:r w:rsidRPr="00D8722B">
        <w:t>On one view</w:t>
      </w:r>
      <w:r w:rsidR="00E747B5" w:rsidRPr="00D8722B">
        <w:t>, calls for cancellation should be promoted by English society and protected by law – either in all cases or, at a minimum, when they claim to vindicate state-backed values such as equality.</w:t>
      </w:r>
    </w:p>
    <w:p w14:paraId="2B7E2CD4" w14:textId="0E10217A" w:rsidR="00800C0F" w:rsidRPr="00D8722B" w:rsidRDefault="00FA3DC8" w:rsidP="009D3648">
      <w:r w:rsidRPr="00D8722B">
        <w:t xml:space="preserve">Three arguments </w:t>
      </w:r>
      <w:r w:rsidR="00F90DD6" w:rsidRPr="00D8722B">
        <w:t>support this</w:t>
      </w:r>
      <w:r w:rsidRPr="00D8722B">
        <w:t>.</w:t>
      </w:r>
      <w:r w:rsidR="004C571D" w:rsidRPr="00D8722B">
        <w:t xml:space="preserve"> </w:t>
      </w:r>
      <w:r w:rsidR="00D32C2D" w:rsidRPr="00D8722B">
        <w:t>First, free speech exclusively seeks to protect individuals from state censorship</w:t>
      </w:r>
      <w:r w:rsidR="0001152F" w:rsidRPr="00D8722B">
        <w:t>.</w:t>
      </w:r>
      <w:r w:rsidR="00190427" w:rsidRPr="00D8722B">
        <w:rPr>
          <w:rStyle w:val="FootnoteReference"/>
        </w:rPr>
        <w:footnoteReference w:id="14"/>
      </w:r>
      <w:r w:rsidR="00D32C2D" w:rsidRPr="00D8722B">
        <w:t xml:space="preserve"> Ca</w:t>
      </w:r>
      <w:r w:rsidR="00D70B24" w:rsidRPr="00D8722B">
        <w:t>lls for cancellation and the forms of boycotting that follow are part of the liberty of the individuals who undertake them. Second</w:t>
      </w:r>
      <w:r w:rsidR="00FE61DB" w:rsidRPr="00D8722B">
        <w:t>ly</w:t>
      </w:r>
      <w:r w:rsidR="00D70B24" w:rsidRPr="00D8722B">
        <w:t xml:space="preserve">, this </w:t>
      </w:r>
      <w:r w:rsidR="00F5711D" w:rsidRPr="00D8722B">
        <w:t>social censorship</w:t>
      </w:r>
      <w:r w:rsidR="00AE2CCF" w:rsidRPr="00D8722B">
        <w:t xml:space="preserve"> in fact</w:t>
      </w:r>
      <w:r w:rsidR="00F5711D" w:rsidRPr="00D8722B">
        <w:t xml:space="preserve"> </w:t>
      </w:r>
      <w:r w:rsidR="008C205E" w:rsidRPr="00D8722B">
        <w:t xml:space="preserve">amounts to the </w:t>
      </w:r>
      <w:r w:rsidR="004F0039" w:rsidRPr="00D8722B">
        <w:t>‘</w:t>
      </w:r>
      <w:r w:rsidR="008C205E" w:rsidRPr="00D8722B">
        <w:t>marketplace of ideas</w:t>
      </w:r>
      <w:r w:rsidR="004F0039" w:rsidRPr="00D8722B">
        <w:t>’</w:t>
      </w:r>
      <w:r w:rsidR="008C205E" w:rsidRPr="00D8722B">
        <w:t xml:space="preserve"> working properly, supressing harmful words and actions without the need for state intervention</w:t>
      </w:r>
      <w:r w:rsidR="003F7D86" w:rsidRPr="00D8722B">
        <w:t xml:space="preserve">. </w:t>
      </w:r>
      <w:r w:rsidR="00FE61DB" w:rsidRPr="00D8722B">
        <w:t>Thirdly,</w:t>
      </w:r>
      <w:r w:rsidR="007C7761" w:rsidRPr="00D8722B">
        <w:t xml:space="preserve"> cancel cultur</w:t>
      </w:r>
      <w:r w:rsidR="00800C0F" w:rsidRPr="00D8722B">
        <w:t xml:space="preserve">e helps protected groups to participate actively in public discussion on equal terms. Without it, those groups would be impeded from engaging in that discussion by </w:t>
      </w:r>
      <w:r w:rsidR="00AA0C6D" w:rsidRPr="00D8722B">
        <w:t>speech</w:t>
      </w:r>
      <w:r w:rsidR="00800C0F" w:rsidRPr="00D8722B">
        <w:t xml:space="preserve"> that </w:t>
      </w:r>
      <w:r w:rsidR="006909F8" w:rsidRPr="00D8722B">
        <w:t>marginalise</w:t>
      </w:r>
      <w:r w:rsidR="004111D7" w:rsidRPr="00D8722B">
        <w:t>s</w:t>
      </w:r>
      <w:r w:rsidR="006909F8" w:rsidRPr="00D8722B">
        <w:t xml:space="preserve"> and silence</w:t>
      </w:r>
      <w:r w:rsidR="004111D7" w:rsidRPr="00D8722B">
        <w:t>s</w:t>
      </w:r>
      <w:r w:rsidR="00800C0F" w:rsidRPr="00D8722B">
        <w:t xml:space="preserve"> them.</w:t>
      </w:r>
      <w:r w:rsidR="00AF1CB0" w:rsidRPr="00D8722B">
        <w:rPr>
          <w:rStyle w:val="FootnoteReference"/>
        </w:rPr>
        <w:footnoteReference w:id="15"/>
      </w:r>
    </w:p>
    <w:p w14:paraId="514E2F47" w14:textId="3099A534" w:rsidR="0080260D" w:rsidRPr="00D8722B" w:rsidRDefault="00631D18" w:rsidP="006A369D">
      <w:r w:rsidRPr="00D8722B">
        <w:lastRenderedPageBreak/>
        <w:t>This approach finds legal expression in</w:t>
      </w:r>
      <w:r w:rsidR="002907CE" w:rsidRPr="00D8722B">
        <w:t xml:space="preserve"> </w:t>
      </w:r>
      <w:r w:rsidR="007D3C0C" w:rsidRPr="00D8722B">
        <w:rPr>
          <w:i/>
          <w:iCs/>
        </w:rPr>
        <w:t xml:space="preserve">NAACP v Claiborne Hardware Co </w:t>
      </w:r>
      <w:r w:rsidR="007D3C0C" w:rsidRPr="00D8722B">
        <w:t>458 US 886 (1982)</w:t>
      </w:r>
      <w:r w:rsidR="00DA3E20" w:rsidRPr="00D8722B">
        <w:t xml:space="preserve">. </w:t>
      </w:r>
      <w:r w:rsidR="00640F5E" w:rsidRPr="00D8722B">
        <w:t>The</w:t>
      </w:r>
      <w:r w:rsidR="00B2209A" w:rsidRPr="00D8722B">
        <w:t xml:space="preserve"> US Supreme Court held that</w:t>
      </w:r>
      <w:r w:rsidR="00F7489A" w:rsidRPr="00D8722B">
        <w:t xml:space="preserve"> speech </w:t>
      </w:r>
      <w:r w:rsidR="006A369D" w:rsidRPr="00D8722B">
        <w:t>promoting a boycott of white business</w:t>
      </w:r>
      <w:r w:rsidRPr="00D8722B">
        <w:t>es</w:t>
      </w:r>
      <w:r w:rsidR="006A369D" w:rsidRPr="00D8722B">
        <w:t xml:space="preserve"> </w:t>
      </w:r>
      <w:r w:rsidR="0035617D" w:rsidRPr="00D8722B">
        <w:t xml:space="preserve">did not lose First Amendment protection </w:t>
      </w:r>
      <w:r w:rsidR="00E606D5" w:rsidRPr="00D8722B">
        <w:t>‘simply</w:t>
      </w:r>
      <w:r w:rsidR="00BE7BFD" w:rsidRPr="00D8722B">
        <w:t xml:space="preserve"> because </w:t>
      </w:r>
      <w:r w:rsidR="00E606D5" w:rsidRPr="00D8722B">
        <w:t xml:space="preserve">it may </w:t>
      </w:r>
      <w:r w:rsidR="00BE7BFD" w:rsidRPr="00D8722B">
        <w:t>embarrass others or coerce them into action’</w:t>
      </w:r>
      <w:r w:rsidR="00337C69" w:rsidRPr="00D8722B">
        <w:t>. I</w:t>
      </w:r>
      <w:r w:rsidR="004969EA" w:rsidRPr="00D8722B">
        <w:t>ndeed,</w:t>
      </w:r>
      <w:r w:rsidR="00BE7BFD" w:rsidRPr="00D8722B">
        <w:t xml:space="preserve"> ‘</w:t>
      </w:r>
      <w:r w:rsidR="00764BFB" w:rsidRPr="00D8722B">
        <w:t>one of the foundations of our society is the right of individuals to combine with other persons in pursuit of a common goal by lawful means</w:t>
      </w:r>
      <w:r w:rsidR="00BE7BFD" w:rsidRPr="00D8722B">
        <w:t xml:space="preserve">.’ </w:t>
      </w:r>
      <w:r w:rsidR="00280ACB" w:rsidRPr="00D8722B">
        <w:t>Notably, the</w:t>
      </w:r>
      <w:r w:rsidR="00AF167B" w:rsidRPr="00D8722B">
        <w:t xml:space="preserve"> boycott aimed to achieve state-sanctioned values: they </w:t>
      </w:r>
      <w:r w:rsidR="00B55C38" w:rsidRPr="00D8722B">
        <w:t>‘sought to vindicate rights of equality and of freedom that lie at the heart of the Fourteenth Amendment itself</w:t>
      </w:r>
      <w:r w:rsidR="00C34CF1" w:rsidRPr="00D8722B">
        <w:t>’.</w:t>
      </w:r>
    </w:p>
    <w:p w14:paraId="712D9515" w14:textId="6F3DEE19" w:rsidR="00851254" w:rsidRPr="00D8722B" w:rsidRDefault="0017295D" w:rsidP="00640F5E">
      <w:r w:rsidRPr="00D8722B">
        <w:t>Cancel culture’s critics</w:t>
      </w:r>
      <w:r w:rsidR="006D115F" w:rsidRPr="00D8722B">
        <w:t xml:space="preserve"> rarely grapple with the force of this case. </w:t>
      </w:r>
      <w:r w:rsidR="003616A1" w:rsidRPr="00D8722B">
        <w:t>Calls for boycott are clearly free speech</w:t>
      </w:r>
      <w:r w:rsidR="005D2FB5" w:rsidRPr="00D8722B">
        <w:t xml:space="preserve"> (</w:t>
      </w:r>
      <w:r w:rsidR="005D2FB5" w:rsidRPr="00D8722B">
        <w:rPr>
          <w:i/>
          <w:iCs/>
        </w:rPr>
        <w:t xml:space="preserve">Baldassi c. France </w:t>
      </w:r>
      <w:r w:rsidR="002C0EE6" w:rsidRPr="00D8722B">
        <w:t>(15271/16</w:t>
      </w:r>
      <w:r w:rsidR="00485502" w:rsidRPr="00D8722B">
        <w:t>)</w:t>
      </w:r>
      <w:r w:rsidR="002C0EE6" w:rsidRPr="00D8722B">
        <w:t xml:space="preserve">, 11 June 2020, §63). </w:t>
      </w:r>
      <w:r w:rsidR="009C370D" w:rsidRPr="00D8722B">
        <w:t xml:space="preserve">Individuals and institutions respond to this social and economic pressure by choosing what to say, </w:t>
      </w:r>
      <w:r w:rsidR="004B2182" w:rsidRPr="00D8722B">
        <w:t>what to</w:t>
      </w:r>
      <w:r w:rsidR="00D06932" w:rsidRPr="00D8722B">
        <w:t xml:space="preserve"> sell or</w:t>
      </w:r>
      <w:r w:rsidR="004B2182" w:rsidRPr="00D8722B">
        <w:t xml:space="preserve"> buy</w:t>
      </w:r>
      <w:r w:rsidR="00D06932" w:rsidRPr="00D8722B">
        <w:t>,</w:t>
      </w:r>
      <w:r w:rsidR="009C370D" w:rsidRPr="00D8722B">
        <w:t xml:space="preserve"> and whom to </w:t>
      </w:r>
      <w:r w:rsidR="004B2182" w:rsidRPr="00D8722B">
        <w:t xml:space="preserve">(dis)invite, </w:t>
      </w:r>
      <w:r w:rsidR="00C269EE" w:rsidRPr="00D8722B">
        <w:t>dismiss</w:t>
      </w:r>
      <w:r w:rsidR="001F3FF0" w:rsidRPr="00D8722B">
        <w:t xml:space="preserve"> or employ</w:t>
      </w:r>
      <w:r w:rsidR="009C370D" w:rsidRPr="00D8722B">
        <w:t>.</w:t>
      </w:r>
      <w:r w:rsidR="00C75DA4" w:rsidRPr="00D8722B">
        <w:t xml:space="preserve"> </w:t>
      </w:r>
      <w:r w:rsidR="002178C5" w:rsidRPr="00D8722B">
        <w:t xml:space="preserve">This is part of the ordinary operation of individual liberty and is, moreover, an important means of achieving social change. </w:t>
      </w:r>
    </w:p>
    <w:p w14:paraId="267E9DCA" w14:textId="5A068FE8" w:rsidR="00517E3F" w:rsidRPr="00D8722B" w:rsidRDefault="00AE6E63" w:rsidP="00DD6489">
      <w:r w:rsidRPr="00D8722B">
        <w:t>The case is</w:t>
      </w:r>
      <w:r w:rsidR="000022D9" w:rsidRPr="00D8722B">
        <w:t xml:space="preserve">, </w:t>
      </w:r>
      <w:r w:rsidR="00C95BB7" w:rsidRPr="00D8722B">
        <w:t>nevertheless</w:t>
      </w:r>
      <w:r w:rsidR="000022D9" w:rsidRPr="00D8722B">
        <w:t xml:space="preserve">, flawed. First, as set out above, the English tradition does not see the state as the only (or even the main) threat to free speech. </w:t>
      </w:r>
      <w:r w:rsidR="00517E3F" w:rsidRPr="00D8722B">
        <w:t xml:space="preserve">Nor does it </w:t>
      </w:r>
      <w:r w:rsidR="0096204B" w:rsidRPr="00D8722B">
        <w:t>absolutely protect</w:t>
      </w:r>
      <w:r w:rsidR="00517E3F" w:rsidRPr="00D8722B">
        <w:t xml:space="preserve"> free speech </w:t>
      </w:r>
      <w:r w:rsidR="00216952" w:rsidRPr="00D8722B">
        <w:t>from state interference</w:t>
      </w:r>
      <w:r w:rsidR="00517E3F" w:rsidRPr="00D8722B">
        <w:t>, and calls for boycott are no exception to this (</w:t>
      </w:r>
      <w:r w:rsidR="00517E3F" w:rsidRPr="00D8722B">
        <w:rPr>
          <w:i/>
          <w:iCs/>
        </w:rPr>
        <w:t>Baldassi</w:t>
      </w:r>
      <w:r w:rsidR="00517E3F" w:rsidRPr="00D8722B">
        <w:t xml:space="preserve">, §64; </w:t>
      </w:r>
      <w:r w:rsidR="00517E3F" w:rsidRPr="00D8722B">
        <w:rPr>
          <w:i/>
          <w:iCs/>
        </w:rPr>
        <w:t xml:space="preserve">Viking Line Abp v The International Transport Workers’ Federation and anor </w:t>
      </w:r>
      <w:r w:rsidR="00517E3F" w:rsidRPr="00D8722B">
        <w:t xml:space="preserve">[2005] EWHC 1222 (Comm) </w:t>
      </w:r>
      <w:r w:rsidR="00D44501" w:rsidRPr="00D8722B">
        <w:t>§§</w:t>
      </w:r>
      <w:r w:rsidR="00517E3F" w:rsidRPr="00D8722B">
        <w:t>123-126</w:t>
      </w:r>
      <w:r w:rsidR="00D44501" w:rsidRPr="00D8722B">
        <w:t>)</w:t>
      </w:r>
      <w:r w:rsidR="00517E3F" w:rsidRPr="00D8722B">
        <w:t>.</w:t>
      </w:r>
      <w:r w:rsidR="00BA2D87" w:rsidRPr="00D8722B">
        <w:t xml:space="preserve"> </w:t>
      </w:r>
      <w:r w:rsidR="004F07B2" w:rsidRPr="00D8722B">
        <w:t>Second</w:t>
      </w:r>
      <w:r w:rsidR="00F97216" w:rsidRPr="00D8722B">
        <w:t>ly</w:t>
      </w:r>
      <w:r w:rsidR="004F07B2" w:rsidRPr="00D8722B">
        <w:t>,</w:t>
      </w:r>
      <w:r w:rsidR="00CC42CE" w:rsidRPr="00D8722B">
        <w:t xml:space="preserve"> cancel culture</w:t>
      </w:r>
      <w:r w:rsidR="001A1F10" w:rsidRPr="00D8722B">
        <w:t xml:space="preserve">’s </w:t>
      </w:r>
      <w:r w:rsidR="00B912B2" w:rsidRPr="00D8722B">
        <w:t>concentration</w:t>
      </w:r>
      <w:r w:rsidR="001A1F10" w:rsidRPr="00D8722B">
        <w:t xml:space="preserve"> of power</w:t>
      </w:r>
      <w:r w:rsidR="00CC42CE" w:rsidRPr="00D8722B">
        <w:t xml:space="preserve"> </w:t>
      </w:r>
      <w:r w:rsidR="00CB06AB" w:rsidRPr="00D8722B">
        <w:t xml:space="preserve">is </w:t>
      </w:r>
      <w:r w:rsidR="00CC42CE" w:rsidRPr="00D8722B">
        <w:t>a</w:t>
      </w:r>
      <w:r w:rsidR="00CB06AB" w:rsidRPr="00D8722B">
        <w:t xml:space="preserve"> </w:t>
      </w:r>
      <w:r w:rsidR="00CB06AB" w:rsidRPr="00D8722B">
        <w:rPr>
          <w:i/>
          <w:iCs/>
        </w:rPr>
        <w:t>prima facie</w:t>
      </w:r>
      <w:r w:rsidR="00CC42CE" w:rsidRPr="00D8722B">
        <w:t xml:space="preserve"> distortion of the ‘marketplace of ideas’</w:t>
      </w:r>
      <w:r w:rsidR="0026151A" w:rsidRPr="00D8722B">
        <w:t xml:space="preserve">. </w:t>
      </w:r>
      <w:r w:rsidR="00E540ED" w:rsidRPr="00D8722B">
        <w:t>C</w:t>
      </w:r>
      <w:r w:rsidR="00EC07DB" w:rsidRPr="00D8722B">
        <w:t>ancel culture is a coercive instrument of intolerance</w:t>
      </w:r>
      <w:r w:rsidR="00936702" w:rsidRPr="00D8722B">
        <w:t>.</w:t>
      </w:r>
      <w:r w:rsidR="00936702" w:rsidRPr="00D8722B">
        <w:rPr>
          <w:rStyle w:val="FootnoteReference"/>
        </w:rPr>
        <w:footnoteReference w:id="16"/>
      </w:r>
      <w:r w:rsidR="00936702" w:rsidRPr="00D8722B">
        <w:t xml:space="preserve"> </w:t>
      </w:r>
      <w:r w:rsidR="00A95F58" w:rsidRPr="00D8722B">
        <w:t>It</w:t>
      </w:r>
      <w:r w:rsidR="0026151A" w:rsidRPr="00D8722B">
        <w:t xml:space="preserve"> a</w:t>
      </w:r>
      <w:r w:rsidR="00CC42CE" w:rsidRPr="00D8722B">
        <w:t xml:space="preserve">ims to operate, as state censors </w:t>
      </w:r>
      <w:r w:rsidR="00B325FA" w:rsidRPr="00D8722B">
        <w:t xml:space="preserve">before </w:t>
      </w:r>
      <w:r w:rsidR="00EC1E78" w:rsidRPr="00D8722B">
        <w:t>it</w:t>
      </w:r>
      <w:r w:rsidR="00CC42CE" w:rsidRPr="00D8722B">
        <w:t>, as ‘an oligarchy [who would] bring a famine upon our minds, when we shall know nothing but what it measures to us by their bushe</w:t>
      </w:r>
      <w:r w:rsidR="00CA1D8A" w:rsidRPr="00D8722B">
        <w:t>l’</w:t>
      </w:r>
      <w:r w:rsidR="00CC42CE" w:rsidRPr="00D8722B">
        <w:t>.</w:t>
      </w:r>
      <w:r w:rsidR="00CC42CE" w:rsidRPr="00D8722B">
        <w:rPr>
          <w:rStyle w:val="FootnoteReference"/>
        </w:rPr>
        <w:footnoteReference w:id="17"/>
      </w:r>
      <w:r w:rsidR="00A06651" w:rsidRPr="00D8722B">
        <w:t xml:space="preserve"> Worse, unlike state censorship, </w:t>
      </w:r>
      <w:r w:rsidR="00560712" w:rsidRPr="00D8722B">
        <w:t xml:space="preserve">it has </w:t>
      </w:r>
      <w:r w:rsidR="00A06651" w:rsidRPr="00D8722B">
        <w:t>no due process or other protection against untruthfulness, arbitrariness or disproportionality</w:t>
      </w:r>
      <w:r w:rsidR="00A16E53" w:rsidRPr="00D8722B">
        <w:t xml:space="preserve">. </w:t>
      </w:r>
      <w:r w:rsidR="00517E3F" w:rsidRPr="00D8722B">
        <w:t>Thirdly, the fact that cancel culture purports to enforce state-backed, universally shared opinions makes it more, not less, suspect. Free speech exists precisely to protect minority expression.</w:t>
      </w:r>
      <w:r w:rsidR="002A60D0" w:rsidRPr="00D8722B">
        <w:t xml:space="preserve"> </w:t>
      </w:r>
    </w:p>
    <w:p w14:paraId="366FB7A0" w14:textId="2FB53F63" w:rsidR="00734C72" w:rsidRPr="00D8722B" w:rsidRDefault="00734C72" w:rsidP="00734C72">
      <w:pPr>
        <w:pStyle w:val="Heading2"/>
        <w:numPr>
          <w:ilvl w:val="0"/>
          <w:numId w:val="0"/>
        </w:numPr>
        <w:ind w:left="284" w:hanging="284"/>
        <w:rPr>
          <w:rFonts w:ascii="Times New Roman" w:hAnsi="Times New Roman" w:cs="Times New Roman"/>
        </w:rPr>
      </w:pPr>
      <w:r w:rsidRPr="00D8722B">
        <w:rPr>
          <w:rFonts w:ascii="Times New Roman" w:hAnsi="Times New Roman" w:cs="Times New Roman"/>
        </w:rPr>
        <w:t>2. The free speech case for suppressing cancel culture</w:t>
      </w:r>
    </w:p>
    <w:p w14:paraId="0A583B67" w14:textId="5228B64D" w:rsidR="001A7F49" w:rsidRPr="00D8722B" w:rsidRDefault="008421B5" w:rsidP="00ED7743">
      <w:r w:rsidRPr="00D8722B">
        <w:t xml:space="preserve">Given this, a second approach would </w:t>
      </w:r>
      <w:r w:rsidR="002F2CC7" w:rsidRPr="00D8722B">
        <w:t>invert</w:t>
      </w:r>
      <w:r w:rsidRPr="00D8722B">
        <w:t xml:space="preserve"> the first: the law should prohibit</w:t>
      </w:r>
      <w:r w:rsidR="00FF6FD4" w:rsidRPr="00D8722B">
        <w:t xml:space="preserve"> some or all</w:t>
      </w:r>
      <w:r w:rsidRPr="00D8722B">
        <w:t xml:space="preserve"> calls for cancellation</w:t>
      </w:r>
      <w:r w:rsidR="00FE2C16" w:rsidRPr="00D8722B">
        <w:t xml:space="preserve"> rooted in cancel culture</w:t>
      </w:r>
      <w:r w:rsidRPr="00D8722B">
        <w:t>.</w:t>
      </w:r>
      <w:r w:rsidR="00A87C1D" w:rsidRPr="00D8722B">
        <w:t xml:space="preserve"> The previous paragraph set out the theoretical case for this. </w:t>
      </w:r>
      <w:r w:rsidR="00CB7960" w:rsidRPr="00D8722B">
        <w:t xml:space="preserve">Legally, </w:t>
      </w:r>
      <w:r w:rsidR="00A3299B" w:rsidRPr="00D8722B">
        <w:t>it</w:t>
      </w:r>
      <w:r w:rsidR="00CB7960" w:rsidRPr="00D8722B">
        <w:t xml:space="preserve"> could build on </w:t>
      </w:r>
      <w:r w:rsidR="00BB02D6" w:rsidRPr="00D8722B">
        <w:t>positive</w:t>
      </w:r>
      <w:r w:rsidR="00CB7960" w:rsidRPr="00D8722B">
        <w:t xml:space="preserve"> human rights obligations to protect individuals from </w:t>
      </w:r>
      <w:r w:rsidR="00D4637D" w:rsidRPr="00D8722B">
        <w:lastRenderedPageBreak/>
        <w:t xml:space="preserve">violence, dismissal or eviction </w:t>
      </w:r>
      <w:r w:rsidR="00CB7960" w:rsidRPr="00D8722B">
        <w:t xml:space="preserve">for </w:t>
      </w:r>
      <w:r w:rsidR="00334E7B" w:rsidRPr="00D8722B">
        <w:t>free speech</w:t>
      </w:r>
      <w:r w:rsidR="001270B7" w:rsidRPr="00D8722B">
        <w:t xml:space="preserve"> in certain cases</w:t>
      </w:r>
      <w:r w:rsidR="00CB7960" w:rsidRPr="00D8722B">
        <w:t>.</w:t>
      </w:r>
      <w:r w:rsidR="00CB7960" w:rsidRPr="00D8722B">
        <w:rPr>
          <w:rStyle w:val="FootnoteReference"/>
        </w:rPr>
        <w:footnoteReference w:id="18"/>
      </w:r>
      <w:r w:rsidR="00CB7960" w:rsidRPr="00D8722B">
        <w:t xml:space="preserve"> </w:t>
      </w:r>
      <w:r w:rsidR="00340168" w:rsidRPr="00D8722B">
        <w:t xml:space="preserve">It might also draw on the attempt to suppress boycotting when it first developed as a political tactic in 1880s Ireland. </w:t>
      </w:r>
      <w:r w:rsidR="006E3E50" w:rsidRPr="00D8722B">
        <w:t>The</w:t>
      </w:r>
      <w:r w:rsidR="008470AC" w:rsidRPr="00D8722B">
        <w:t xml:space="preserve"> Prevention of Crime (Ireland) Act 1882</w:t>
      </w:r>
      <w:r w:rsidR="006E3E50" w:rsidRPr="00D8722B">
        <w:t>, s7,</w:t>
      </w:r>
      <w:r w:rsidR="008470AC" w:rsidRPr="00D8722B">
        <w:t xml:space="preserve"> </w:t>
      </w:r>
      <w:r w:rsidR="00E47635" w:rsidRPr="00D8722B">
        <w:t>criminalised</w:t>
      </w:r>
      <w:r w:rsidR="00DE212E" w:rsidRPr="00D8722B">
        <w:t xml:space="preserve"> the use of or incitement to intimidation to </w:t>
      </w:r>
      <w:r w:rsidR="00A7462E" w:rsidRPr="00D8722B">
        <w:t xml:space="preserve">cause </w:t>
      </w:r>
      <w:r w:rsidR="00390DE0" w:rsidRPr="00D8722B">
        <w:t>person(s)</w:t>
      </w:r>
      <w:r w:rsidR="00A7462E" w:rsidRPr="00D8722B">
        <w:t xml:space="preserve"> to act where they could lawfully abstain from acting, or to abstain from acting where they could lawfully ac</w:t>
      </w:r>
      <w:r w:rsidR="00FC22B3" w:rsidRPr="00D8722B">
        <w:t xml:space="preserve">t. </w:t>
      </w:r>
      <w:r w:rsidR="00FB5E44" w:rsidRPr="00D8722B">
        <w:t>Intimidation include</w:t>
      </w:r>
      <w:r w:rsidR="000D30D9" w:rsidRPr="00D8722B">
        <w:t>d</w:t>
      </w:r>
      <w:r w:rsidR="00FB5E44" w:rsidRPr="00D8722B">
        <w:t xml:space="preserve"> ‘any word spoken or act done in order to… put any person in fear of… any injury to or loss of his property, business, or means of living’.</w:t>
      </w:r>
    </w:p>
    <w:p w14:paraId="5824B585" w14:textId="0665DC8F" w:rsidR="006A46A9" w:rsidRPr="00D8722B" w:rsidRDefault="00882419" w:rsidP="00770C72">
      <w:r w:rsidRPr="00D8722B">
        <w:t xml:space="preserve">This approach is also flawed. </w:t>
      </w:r>
      <w:r w:rsidR="00F908F2" w:rsidRPr="00D8722B">
        <w:t xml:space="preserve">First, it </w:t>
      </w:r>
      <w:r w:rsidR="00F30F96" w:rsidRPr="00D8722B">
        <w:t>would return</w:t>
      </w:r>
      <w:r w:rsidR="00F908F2" w:rsidRPr="00D8722B">
        <w:t xml:space="preserve"> the </w:t>
      </w:r>
      <w:r w:rsidR="000931C8" w:rsidRPr="00D8722B">
        <w:t xml:space="preserve">state </w:t>
      </w:r>
      <w:r w:rsidR="00DF1702" w:rsidRPr="00D8722B">
        <w:t>to</w:t>
      </w:r>
      <w:r w:rsidR="000931C8" w:rsidRPr="00D8722B">
        <w:t xml:space="preserve"> the centre, controlling in detail which </w:t>
      </w:r>
      <w:r w:rsidR="00E62577" w:rsidRPr="00D8722B">
        <w:t>cancellation calls</w:t>
      </w:r>
      <w:r w:rsidR="00DD7ACC" w:rsidRPr="00D8722B">
        <w:t xml:space="preserve"> </w:t>
      </w:r>
      <w:r w:rsidR="00E62577" w:rsidRPr="00D8722B">
        <w:t>are</w:t>
      </w:r>
      <w:r w:rsidR="000931C8" w:rsidRPr="00D8722B">
        <w:t xml:space="preserve"> permissible and which </w:t>
      </w:r>
      <w:r w:rsidR="00E62577" w:rsidRPr="00D8722B">
        <w:t>are</w:t>
      </w:r>
      <w:r w:rsidR="000931C8" w:rsidRPr="00D8722B">
        <w:t xml:space="preserve"> not. Rather than expanding to a cacophony of ‘much arguing, much writing, many opinions’</w:t>
      </w:r>
      <w:r w:rsidR="00B84CB6" w:rsidRPr="00D8722B">
        <w:rPr>
          <w:rStyle w:val="FootnoteReference"/>
        </w:rPr>
        <w:footnoteReference w:id="19"/>
      </w:r>
      <w:r w:rsidR="000931C8" w:rsidRPr="00D8722B">
        <w:t xml:space="preserve">, </w:t>
      </w:r>
      <w:r w:rsidR="00F908F2" w:rsidRPr="00D8722B">
        <w:t xml:space="preserve">the public square </w:t>
      </w:r>
      <w:r w:rsidR="005268D5" w:rsidRPr="00D8722B">
        <w:t>would</w:t>
      </w:r>
      <w:r w:rsidR="00F908F2" w:rsidRPr="00D8722B">
        <w:t xml:space="preserve"> shrink.</w:t>
      </w:r>
      <w:r w:rsidR="005268D5" w:rsidRPr="00D8722B">
        <w:t xml:space="preserve"> </w:t>
      </w:r>
      <w:r w:rsidR="00FD393D" w:rsidRPr="00D8722B">
        <w:t xml:space="preserve">By weakening social control over speech, the lines drawn in law would become the key touchstone for </w:t>
      </w:r>
      <w:r w:rsidR="00EF5AF5" w:rsidRPr="00D8722B">
        <w:t>acceptability</w:t>
      </w:r>
      <w:r w:rsidR="00FD393D" w:rsidRPr="00D8722B">
        <w:t>. This would undermine autonomy. But it would also invite increasing political and legal contestation over those lines, this time enforced by public rather than private power.</w:t>
      </w:r>
      <w:r w:rsidR="00F53B13" w:rsidRPr="00D8722B">
        <w:t xml:space="preserve"> Second, </w:t>
      </w:r>
      <w:r w:rsidR="001769F3" w:rsidRPr="00D8722B">
        <w:t>this</w:t>
      </w:r>
      <w:r w:rsidR="00F53B13" w:rsidRPr="00D8722B">
        <w:t xml:space="preserve"> blanket</w:t>
      </w:r>
      <w:r w:rsidR="001769F3" w:rsidRPr="00D8722B">
        <w:t>, draconian</w:t>
      </w:r>
      <w:r w:rsidR="00F53B13" w:rsidRPr="00D8722B">
        <w:t xml:space="preserve"> interference w</w:t>
      </w:r>
      <w:r w:rsidR="002309B7" w:rsidRPr="00D8722B">
        <w:t>ith free speech would clearly violate human rights law (</w:t>
      </w:r>
      <w:r w:rsidR="002309B7" w:rsidRPr="00D8722B">
        <w:rPr>
          <w:i/>
          <w:iCs/>
        </w:rPr>
        <w:t>Baldassi</w:t>
      </w:r>
      <w:r w:rsidR="002309B7" w:rsidRPr="00D8722B">
        <w:t>, §§63-64).</w:t>
      </w:r>
      <w:r w:rsidR="00854E3F" w:rsidRPr="00D8722B">
        <w:t xml:space="preserve"> </w:t>
      </w:r>
      <w:r w:rsidR="005612A6" w:rsidRPr="00D8722B">
        <w:t>Indeed</w:t>
      </w:r>
      <w:r w:rsidR="007634F6" w:rsidRPr="00D8722B">
        <w:t>, our tradition is suspicious of</w:t>
      </w:r>
      <w:r w:rsidR="00FE020A" w:rsidRPr="00D8722B">
        <w:t xml:space="preserve"> arguments that </w:t>
      </w:r>
      <w:r w:rsidR="00044745" w:rsidRPr="00D8722B">
        <w:t>the state</w:t>
      </w:r>
      <w:r w:rsidR="00FE020A" w:rsidRPr="00D8722B">
        <w:t xml:space="preserve"> </w:t>
      </w:r>
      <w:r w:rsidR="00247650" w:rsidRPr="00D8722B">
        <w:t>can protect speech by</w:t>
      </w:r>
      <w:r w:rsidR="00FE020A" w:rsidRPr="00D8722B">
        <w:t xml:space="preserve"> suppress</w:t>
      </w:r>
      <w:r w:rsidR="00247650" w:rsidRPr="00D8722B">
        <w:t>ing</w:t>
      </w:r>
      <w:r w:rsidR="00FE020A" w:rsidRPr="00D8722B">
        <w:t xml:space="preserve"> speech</w:t>
      </w:r>
      <w:r w:rsidR="00D96F15" w:rsidRPr="00D8722B">
        <w:t xml:space="preserve">: despite Bayle’s quote above, </w:t>
      </w:r>
      <w:r w:rsidR="00E11B26" w:rsidRPr="00D8722B">
        <w:t xml:space="preserve">the case-law </w:t>
      </w:r>
      <w:r w:rsidR="008809CB" w:rsidRPr="00D8722B">
        <w:t>casts free speech as colliding with other values, not itself</w:t>
      </w:r>
      <w:r w:rsidR="009F3D18" w:rsidRPr="00D8722B">
        <w:t>.</w:t>
      </w:r>
      <w:r w:rsidR="007D0B71" w:rsidRPr="00D8722B">
        <w:rPr>
          <w:rStyle w:val="FootnoteReference"/>
        </w:rPr>
        <w:footnoteReference w:id="20"/>
      </w:r>
      <w:r w:rsidR="002B1121" w:rsidRPr="00D8722B">
        <w:t xml:space="preserve"> Finally, </w:t>
      </w:r>
      <w:r w:rsidR="0027245C" w:rsidRPr="00D8722B">
        <w:t>it is highly unlikely to work.</w:t>
      </w:r>
      <w:r w:rsidR="00E633B5" w:rsidRPr="00D8722B">
        <w:t xml:space="preserve"> Boycotts’ sting is their collective nature and institutions’ reactions to them</w:t>
      </w:r>
      <w:r w:rsidR="00C436CA" w:rsidRPr="00D8722B">
        <w:t xml:space="preserve">, and </w:t>
      </w:r>
      <w:r w:rsidR="00F24A06" w:rsidRPr="00D8722B">
        <w:t>targeting</w:t>
      </w:r>
      <w:r w:rsidR="00C436CA" w:rsidRPr="00D8722B">
        <w:t xml:space="preserve"> individual speech addresses neither</w:t>
      </w:r>
      <w:r w:rsidR="00E633B5" w:rsidRPr="00D8722B">
        <w:t>.</w:t>
      </w:r>
      <w:r w:rsidR="0027245C" w:rsidRPr="00D8722B">
        <w:t xml:space="preserve"> </w:t>
      </w:r>
      <w:r w:rsidR="00A14D1A" w:rsidRPr="00D8722B">
        <w:t xml:space="preserve">The </w:t>
      </w:r>
      <w:r w:rsidR="002B1121" w:rsidRPr="00D8722B">
        <w:t>Irish</w:t>
      </w:r>
      <w:r w:rsidR="00A14D1A" w:rsidRPr="00D8722B">
        <w:t xml:space="preserve"> provision </w:t>
      </w:r>
      <w:r w:rsidR="00F1684E" w:rsidRPr="00D8722B">
        <w:t>cited</w:t>
      </w:r>
      <w:r w:rsidR="00A14D1A" w:rsidRPr="00D8722B">
        <w:t xml:space="preserve"> above</w:t>
      </w:r>
      <w:r w:rsidR="00E85E50" w:rsidRPr="00D8722B">
        <w:t xml:space="preserve"> – a colonial statute never imposed within England –</w:t>
      </w:r>
      <w:r w:rsidR="00A14D1A" w:rsidRPr="00D8722B">
        <w:t xml:space="preserve"> was ineffectual.</w:t>
      </w:r>
      <w:r w:rsidR="00F60A09" w:rsidRPr="00D8722B">
        <w:rPr>
          <w:rStyle w:val="FootnoteReference"/>
        </w:rPr>
        <w:footnoteReference w:id="21"/>
      </w:r>
      <w:r w:rsidR="00E15B45" w:rsidRPr="00D8722B">
        <w:t xml:space="preserve"> </w:t>
      </w:r>
      <w:r w:rsidR="00770C72" w:rsidRPr="00D8722B">
        <w:t>Today, it is still less plausible that t</w:t>
      </w:r>
      <w:r w:rsidR="004C584F" w:rsidRPr="00D8722B">
        <w:t>he state could identify and punish every</w:t>
      </w:r>
      <w:r w:rsidR="006A46A9" w:rsidRPr="00D8722B">
        <w:t xml:space="preserve"> social media and private message</w:t>
      </w:r>
      <w:r w:rsidR="004C584F" w:rsidRPr="00D8722B">
        <w:t xml:space="preserve"> call</w:t>
      </w:r>
      <w:r w:rsidR="006A46A9" w:rsidRPr="00D8722B">
        <w:t xml:space="preserve"> for cancellation.</w:t>
      </w:r>
    </w:p>
    <w:p w14:paraId="42CD0168" w14:textId="43A1D396" w:rsidR="00734C72" w:rsidRPr="00D8722B" w:rsidRDefault="00734C72" w:rsidP="00734C72">
      <w:pPr>
        <w:pStyle w:val="Heading2"/>
        <w:numPr>
          <w:ilvl w:val="0"/>
          <w:numId w:val="0"/>
        </w:numPr>
        <w:ind w:left="284" w:hanging="284"/>
        <w:rPr>
          <w:rFonts w:ascii="Times New Roman" w:hAnsi="Times New Roman" w:cs="Times New Roman"/>
        </w:rPr>
      </w:pPr>
      <w:r w:rsidRPr="00D8722B">
        <w:rPr>
          <w:rFonts w:ascii="Times New Roman" w:hAnsi="Times New Roman" w:cs="Times New Roman"/>
        </w:rPr>
        <w:t xml:space="preserve">3. The </w:t>
      </w:r>
      <w:r w:rsidR="00D554E5" w:rsidRPr="00D8722B">
        <w:rPr>
          <w:rFonts w:ascii="Times New Roman" w:hAnsi="Times New Roman" w:cs="Times New Roman"/>
        </w:rPr>
        <w:t>better approach</w:t>
      </w:r>
    </w:p>
    <w:p w14:paraId="7818A7F7" w14:textId="77777777" w:rsidR="005569EE" w:rsidRPr="00D8722B" w:rsidRDefault="00F91CF2" w:rsidP="00734C72">
      <w:r w:rsidRPr="00D8722B">
        <w:t>A fresh approach, harmonious with our thought and law, is needed.</w:t>
      </w:r>
      <w:r w:rsidR="005569EE" w:rsidRPr="00D8722B">
        <w:t xml:space="preserve"> </w:t>
      </w:r>
    </w:p>
    <w:p w14:paraId="324B61A6" w14:textId="19CD67ED" w:rsidR="00CE75CC" w:rsidRPr="00D8722B" w:rsidRDefault="008E3E7F" w:rsidP="00734C72">
      <w:r w:rsidRPr="00D8722B">
        <w:t>Cancel culture’s critics</w:t>
      </w:r>
      <w:r w:rsidR="001F1D2A" w:rsidRPr="00D8722B">
        <w:t xml:space="preserve"> consistently call for a shift in culture, not law.</w:t>
      </w:r>
      <w:r w:rsidR="008333B7" w:rsidRPr="00D8722B">
        <w:rPr>
          <w:rStyle w:val="FootnoteReference"/>
        </w:rPr>
        <w:footnoteReference w:id="22"/>
      </w:r>
      <w:r w:rsidR="00CE75CC" w:rsidRPr="00D8722B">
        <w:t xml:space="preserve"> As Furedi </w:t>
      </w:r>
      <w:r w:rsidR="002B62AD" w:rsidRPr="00D8722B">
        <w:t>argues</w:t>
      </w:r>
      <w:r w:rsidR="00CE75CC" w:rsidRPr="00D8722B">
        <w:t>:</w:t>
      </w:r>
    </w:p>
    <w:p w14:paraId="5856028D" w14:textId="08D4051B" w:rsidR="00CE75CC" w:rsidRPr="00D8722B" w:rsidRDefault="00CE75CC" w:rsidP="00CE75CC">
      <w:pPr>
        <w:ind w:left="284"/>
      </w:pPr>
      <w:r w:rsidRPr="00D8722B">
        <w:lastRenderedPageBreak/>
        <w:t>‘tolerance is a social/cultural accomplishment, and a tolerant society is one where the cultural orientation discourages and restrains social intolerance… experience shows that legal safeguards can always come unstuck when confronted by a tidal wave of social intolerance.’</w:t>
      </w:r>
      <w:r w:rsidR="00D27A0F" w:rsidRPr="00D8722B">
        <w:rPr>
          <w:rStyle w:val="FootnoteReference"/>
        </w:rPr>
        <w:footnoteReference w:id="23"/>
      </w:r>
    </w:p>
    <w:p w14:paraId="5A4A7221" w14:textId="3EBB6468" w:rsidR="001F1D2A" w:rsidRPr="00D8722B" w:rsidRDefault="00AA2C56" w:rsidP="00CA1AA0">
      <w:r w:rsidRPr="00D8722B">
        <w:t>This resonates with classical thought, which emphasised the limits of law and importance of civi</w:t>
      </w:r>
      <w:r w:rsidR="0038056B" w:rsidRPr="00D8722B">
        <w:t>c</w:t>
      </w:r>
      <w:r w:rsidRPr="00D8722B">
        <w:t xml:space="preserve"> culture </w:t>
      </w:r>
      <w:r w:rsidR="00F35CB0" w:rsidRPr="00D8722B">
        <w:t>in</w:t>
      </w:r>
      <w:r w:rsidRPr="00D8722B">
        <w:t xml:space="preserve"> free speech.</w:t>
      </w:r>
      <w:r w:rsidR="00000E6B" w:rsidRPr="00D8722B">
        <w:rPr>
          <w:rStyle w:val="FootnoteReference"/>
        </w:rPr>
        <w:footnoteReference w:id="24"/>
      </w:r>
      <w:r w:rsidR="006606B3" w:rsidRPr="00D8722B">
        <w:t xml:space="preserve"> </w:t>
      </w:r>
      <w:r w:rsidR="00103430" w:rsidRPr="00D8722B">
        <w:t>Defenders of the open society should</w:t>
      </w:r>
      <w:r w:rsidR="00326ACE" w:rsidRPr="00D8722B">
        <w:t xml:space="preserve"> aim to</w:t>
      </w:r>
      <w:r w:rsidR="006606B3" w:rsidRPr="00D8722B">
        <w:t xml:space="preserve"> foster </w:t>
      </w:r>
      <w:r w:rsidR="008820CB" w:rsidRPr="00D8722B">
        <w:t>a culture of tolerance for unpopular speech</w:t>
      </w:r>
      <w:r w:rsidR="004A5BB0" w:rsidRPr="00D8722B">
        <w:t xml:space="preserve"> and</w:t>
      </w:r>
      <w:r w:rsidR="00627C05" w:rsidRPr="00D8722B">
        <w:t xml:space="preserve"> of</w:t>
      </w:r>
      <w:r w:rsidR="004A5BB0" w:rsidRPr="00D8722B">
        <w:t xml:space="preserve"> </w:t>
      </w:r>
      <w:r w:rsidR="002A4949" w:rsidRPr="00D8722B">
        <w:t>perspective on</w:t>
      </w:r>
      <w:r w:rsidR="004A5BB0" w:rsidRPr="00D8722B">
        <w:t xml:space="preserve"> minor or historic </w:t>
      </w:r>
      <w:r w:rsidR="00B506AC" w:rsidRPr="00D8722B">
        <w:t>breaches of speech norms</w:t>
      </w:r>
      <w:r w:rsidR="008820CB" w:rsidRPr="00D8722B">
        <w:t>.</w:t>
      </w:r>
      <w:r w:rsidR="00A636B3" w:rsidRPr="00D8722B">
        <w:t xml:space="preserve"> </w:t>
      </w:r>
      <w:r w:rsidR="00012E48" w:rsidRPr="00D8722B">
        <w:t>Consistent with the foundation</w:t>
      </w:r>
      <w:r w:rsidR="00EA435D" w:rsidRPr="00D8722B">
        <w:t>s</w:t>
      </w:r>
      <w:r w:rsidR="00012E48" w:rsidRPr="00D8722B">
        <w:t xml:space="preserve"> of free speech, this should aim to increase the autonomy of individuals</w:t>
      </w:r>
      <w:r w:rsidR="004A4E44" w:rsidRPr="00D8722B">
        <w:t xml:space="preserve">, including both </w:t>
      </w:r>
      <w:r w:rsidR="006D2420" w:rsidRPr="00D8722B">
        <w:t>those</w:t>
      </w:r>
      <w:r w:rsidR="004A4E44" w:rsidRPr="00D8722B">
        <w:t xml:space="preserve"> targeted by cancel culture and the institutions and individuals pressured to boycott them.</w:t>
      </w:r>
    </w:p>
    <w:p w14:paraId="1062E514" w14:textId="0D63FBAA" w:rsidR="006A50A7" w:rsidRPr="00D8722B" w:rsidRDefault="006D2420" w:rsidP="0017637A">
      <w:r w:rsidRPr="00D8722B">
        <w:t>Law has three roles here</w:t>
      </w:r>
      <w:r w:rsidR="006A50A7" w:rsidRPr="00D8722B">
        <w:t xml:space="preserve">. First, it should </w:t>
      </w:r>
      <w:r w:rsidR="00AA20B5" w:rsidRPr="00D8722B">
        <w:t>set the tone for tolerance</w:t>
      </w:r>
      <w:r w:rsidR="006A50A7" w:rsidRPr="00D8722B">
        <w:t xml:space="preserve">. </w:t>
      </w:r>
      <w:r w:rsidR="004B354F" w:rsidRPr="00D8722B">
        <w:t>I</w:t>
      </w:r>
      <w:r w:rsidR="00FA4A2C" w:rsidRPr="00D8722B">
        <w:t xml:space="preserve">t </w:t>
      </w:r>
      <w:r w:rsidR="006A50A7" w:rsidRPr="00D8722B">
        <w:t>should</w:t>
      </w:r>
      <w:r w:rsidR="00CE75CC" w:rsidRPr="00D8722B">
        <w:t xml:space="preserve"> ensure </w:t>
      </w:r>
      <w:r w:rsidR="0021026E" w:rsidRPr="00D8722B">
        <w:t>that existing law</w:t>
      </w:r>
      <w:r w:rsidR="00CE75CC" w:rsidRPr="00D8722B">
        <w:t xml:space="preserve"> does not promote cancel culture, </w:t>
      </w:r>
      <w:r w:rsidR="00691F9C" w:rsidRPr="00D8722B">
        <w:t>given</w:t>
      </w:r>
      <w:r w:rsidR="00CE75CC" w:rsidRPr="00D8722B">
        <w:t xml:space="preserve"> that </w:t>
      </w:r>
      <w:r w:rsidR="0002698C" w:rsidRPr="00D8722B">
        <w:t>‘the chief mischief of the legal penalties is that they strengthen the social stigma’</w:t>
      </w:r>
      <w:r w:rsidR="006E4CA9" w:rsidRPr="00D8722B">
        <w:t xml:space="preserve"> (Mill p57)</w:t>
      </w:r>
      <w:r w:rsidR="0002698C" w:rsidRPr="00D8722B">
        <w:t>.</w:t>
      </w:r>
      <w:r w:rsidR="00F61E34" w:rsidRPr="00D8722B">
        <w:t xml:space="preserve"> Second</w:t>
      </w:r>
      <w:r w:rsidR="00FE61DB" w:rsidRPr="00D8722B">
        <w:t>ly</w:t>
      </w:r>
      <w:r w:rsidR="00F61E34" w:rsidRPr="00D8722B">
        <w:t xml:space="preserve">, it should </w:t>
      </w:r>
      <w:r w:rsidR="002C29F9" w:rsidRPr="00D8722B">
        <w:t xml:space="preserve">supress </w:t>
      </w:r>
      <w:r w:rsidR="000271FB" w:rsidRPr="00D8722B">
        <w:t xml:space="preserve">libellous </w:t>
      </w:r>
      <w:r w:rsidR="00023785" w:rsidRPr="00D8722B">
        <w:t xml:space="preserve">or harassing </w:t>
      </w:r>
      <w:r w:rsidR="00F05BA3" w:rsidRPr="00D8722B">
        <w:t>calls for cancellation</w:t>
      </w:r>
      <w:r w:rsidR="002A19BE" w:rsidRPr="00D8722B">
        <w:t xml:space="preserve">, and </w:t>
      </w:r>
      <w:r w:rsidR="004C7E58" w:rsidRPr="00D8722B">
        <w:t>protect</w:t>
      </w:r>
      <w:r w:rsidR="002A19BE" w:rsidRPr="00D8722B">
        <w:t xml:space="preserve"> privacy</w:t>
      </w:r>
      <w:r w:rsidR="002C29F9" w:rsidRPr="00D8722B">
        <w:t>.</w:t>
      </w:r>
      <w:r w:rsidR="001902BA" w:rsidRPr="00D8722B">
        <w:t xml:space="preserve"> Third</w:t>
      </w:r>
      <w:r w:rsidR="00FE61DB" w:rsidRPr="00D8722B">
        <w:t>ly</w:t>
      </w:r>
      <w:r w:rsidR="001902BA" w:rsidRPr="00D8722B">
        <w:t>,</w:t>
      </w:r>
      <w:r w:rsidR="00785B2E" w:rsidRPr="00D8722B">
        <w:t xml:space="preserve"> where necessary it should plac</w:t>
      </w:r>
      <w:r w:rsidR="00D471A4" w:rsidRPr="00D8722B">
        <w:t xml:space="preserve">e duties on institutions and intermediaries to </w:t>
      </w:r>
      <w:r w:rsidR="000C647A" w:rsidRPr="00D8722B">
        <w:t>enable them to resist</w:t>
      </w:r>
      <w:r w:rsidR="00D471A4" w:rsidRPr="00D8722B">
        <w:t xml:space="preserve"> unjustified calls for cancellation. </w:t>
      </w:r>
      <w:r w:rsidR="00A33B64" w:rsidRPr="00D8722B">
        <w:t xml:space="preserve">Crucially, </w:t>
      </w:r>
      <w:r w:rsidR="00992D91" w:rsidRPr="00D8722B">
        <w:t>such</w:t>
      </w:r>
      <w:r w:rsidR="00A33B64" w:rsidRPr="00D8722B">
        <w:t xml:space="preserve"> duties do not interfere with free speech. </w:t>
      </w:r>
      <w:r w:rsidR="00C85E53" w:rsidRPr="00D8722B">
        <w:t xml:space="preserve">All </w:t>
      </w:r>
      <w:r w:rsidR="008555DF" w:rsidRPr="00D8722B">
        <w:t>three roles operate</w:t>
      </w:r>
      <w:r w:rsidR="00C85E53" w:rsidRPr="00D8722B">
        <w:t xml:space="preserve"> within a framework that continues to protect calls for cancellation as </w:t>
      </w:r>
      <w:r w:rsidR="00DA0F60" w:rsidRPr="00D8722B">
        <w:t>free, and even valuable, speech.</w:t>
      </w:r>
    </w:p>
    <w:p w14:paraId="785B8494" w14:textId="28327300" w:rsidR="005C5295" w:rsidRPr="00D8722B" w:rsidRDefault="005C5295" w:rsidP="009D3648">
      <w:pPr>
        <w:pStyle w:val="Heading1"/>
      </w:pPr>
      <w:r w:rsidRPr="00D8722B">
        <w:t>IV.</w:t>
      </w:r>
      <w:r w:rsidR="000C3103" w:rsidRPr="00D8722B">
        <w:t xml:space="preserve"> </w:t>
      </w:r>
      <w:r w:rsidR="00C70394" w:rsidRPr="00D8722B">
        <w:t>Proposals</w:t>
      </w:r>
    </w:p>
    <w:p w14:paraId="2ED127A9" w14:textId="097B2178" w:rsidR="007F7409" w:rsidRPr="00D8722B" w:rsidRDefault="007F7409" w:rsidP="007F7409">
      <w:pPr>
        <w:pStyle w:val="Heading2"/>
        <w:numPr>
          <w:ilvl w:val="0"/>
          <w:numId w:val="0"/>
        </w:numPr>
        <w:ind w:left="284" w:hanging="284"/>
        <w:rPr>
          <w:rFonts w:ascii="Times New Roman" w:hAnsi="Times New Roman" w:cs="Times New Roman"/>
        </w:rPr>
      </w:pPr>
      <w:r w:rsidRPr="00D8722B">
        <w:rPr>
          <w:rFonts w:ascii="Times New Roman" w:hAnsi="Times New Roman" w:cs="Times New Roman"/>
        </w:rPr>
        <w:t>1. Setting the tone</w:t>
      </w:r>
    </w:p>
    <w:p w14:paraId="21C59901" w14:textId="103C5775" w:rsidR="00882321" w:rsidRPr="00D8722B" w:rsidRDefault="00882321" w:rsidP="007F645C">
      <w:r w:rsidRPr="00D8722B">
        <w:t>English case-law is peppered with liberal statements outlining an expansi</w:t>
      </w:r>
      <w:r w:rsidR="00DC6B05" w:rsidRPr="00D8722B">
        <w:t>ve</w:t>
      </w:r>
      <w:r w:rsidRPr="00D8722B">
        <w:t xml:space="preserve"> vision of free speech</w:t>
      </w:r>
      <w:r w:rsidR="002E5A4A" w:rsidRPr="00D8722B">
        <w:t xml:space="preserve">, recalled </w:t>
      </w:r>
      <w:r w:rsidR="00151D46" w:rsidRPr="00D8722B">
        <w:t xml:space="preserve">in </w:t>
      </w:r>
      <w:r w:rsidR="00151D46" w:rsidRPr="00D8722B">
        <w:rPr>
          <w:b/>
          <w:bCs/>
        </w:rPr>
        <w:t>Section I</w:t>
      </w:r>
      <w:r w:rsidR="002E5A4A" w:rsidRPr="00D8722B">
        <w:t xml:space="preserve"> above. It emphasise</w:t>
      </w:r>
      <w:r w:rsidR="00EB661C" w:rsidRPr="00D8722B">
        <w:t>s</w:t>
      </w:r>
      <w:r w:rsidR="002E5A4A" w:rsidRPr="00D8722B">
        <w:t xml:space="preserve"> that </w:t>
      </w:r>
      <w:r w:rsidR="00D90B5C" w:rsidRPr="00D8722B">
        <w:t xml:space="preserve">‘pluralism requires members of society to tolerate the dissemination of information and views which they believe to be false and wrong’, and that subjective </w:t>
      </w:r>
      <w:r w:rsidR="003F7EA4" w:rsidRPr="00D8722B">
        <w:t xml:space="preserve">insult or offence </w:t>
      </w:r>
      <w:r w:rsidR="00D90B5C" w:rsidRPr="00D8722B">
        <w:t>cannot justify attempts to silence other views.</w:t>
      </w:r>
      <w:r w:rsidR="007D045B" w:rsidRPr="00D8722B">
        <w:rPr>
          <w:rStyle w:val="FootnoteReference"/>
        </w:rPr>
        <w:footnoteReference w:id="25"/>
      </w:r>
      <w:r w:rsidR="00545EAF" w:rsidRPr="00D8722B">
        <w:t xml:space="preserve"> </w:t>
      </w:r>
      <w:r w:rsidR="000768F9" w:rsidRPr="00D8722B">
        <w:t>Nevertheless, two shortcomings</w:t>
      </w:r>
      <w:r w:rsidR="004F2E08" w:rsidRPr="00D8722B">
        <w:t xml:space="preserve"> exist</w:t>
      </w:r>
      <w:r w:rsidR="00804CCB" w:rsidRPr="00D8722B">
        <w:t>.</w:t>
      </w:r>
    </w:p>
    <w:p w14:paraId="19DEB762" w14:textId="2A52EC02" w:rsidR="00797AD1" w:rsidRPr="00D8722B" w:rsidRDefault="00B82E44" w:rsidP="00797AD1">
      <w:r w:rsidRPr="00D8722B">
        <w:t>First</w:t>
      </w:r>
      <w:r w:rsidR="00797AD1" w:rsidRPr="00D8722B">
        <w:t>, th</w:t>
      </w:r>
      <w:r w:rsidRPr="00D8722B">
        <w:t xml:space="preserve">is </w:t>
      </w:r>
      <w:r w:rsidR="00797AD1" w:rsidRPr="00D8722B">
        <w:t>case-law is</w:t>
      </w:r>
      <w:r w:rsidR="007E3B1A" w:rsidRPr="00D8722B">
        <w:t xml:space="preserve">, quite naturally, </w:t>
      </w:r>
      <w:r w:rsidR="00797AD1" w:rsidRPr="00D8722B">
        <w:t xml:space="preserve">focussed on legal restrictions of free speech. We lack a general statement on what the cultural dimension of free speech entails. The government should </w:t>
      </w:r>
      <w:r w:rsidR="00797AD1" w:rsidRPr="00D8722B">
        <w:lastRenderedPageBreak/>
        <w:t>draft a soft law instrument, following consultation with free speech, anti-discrimination and other NGOs, setting out</w:t>
      </w:r>
      <w:r w:rsidR="00377259" w:rsidRPr="00D8722B">
        <w:t xml:space="preserve"> neutral</w:t>
      </w:r>
      <w:r w:rsidR="00797AD1" w:rsidRPr="00D8722B">
        <w:t xml:space="preserve"> standards based on the principles articulated above.</w:t>
      </w:r>
      <w:r w:rsidR="0053507E" w:rsidRPr="00D8722B">
        <w:t xml:space="preserve"> </w:t>
      </w:r>
    </w:p>
    <w:p w14:paraId="44EBAD82" w14:textId="2CAF9ABF" w:rsidR="00837659" w:rsidRPr="00D8722B" w:rsidRDefault="009C5387" w:rsidP="007F7C2A">
      <w:r w:rsidRPr="00D8722B">
        <w:t>S</w:t>
      </w:r>
      <w:r w:rsidR="004A40E0" w:rsidRPr="00D8722B">
        <w:t>e</w:t>
      </w:r>
      <w:r w:rsidRPr="00D8722B">
        <w:t>condly</w:t>
      </w:r>
      <w:r w:rsidR="00545EAF" w:rsidRPr="00D8722B">
        <w:t xml:space="preserve">, certain </w:t>
      </w:r>
      <w:r w:rsidR="00581398" w:rsidRPr="00D8722B">
        <w:t xml:space="preserve">state practices </w:t>
      </w:r>
      <w:r w:rsidR="00FD3B4C" w:rsidRPr="00D8722B">
        <w:t>encourage cancel culture.</w:t>
      </w:r>
      <w:r w:rsidR="002E7A71" w:rsidRPr="00D8722B">
        <w:t xml:space="preserve"> Hate speech illustrates this well. </w:t>
      </w:r>
      <w:r w:rsidR="00D205CB" w:rsidRPr="00D8722B">
        <w:t>Speech that incites discrimination, hostility or violence against protected groups undermines pluralism and must be outlawed</w:t>
      </w:r>
      <w:r w:rsidR="00657EF8" w:rsidRPr="00D8722B">
        <w:t xml:space="preserve">: </w:t>
      </w:r>
      <w:r w:rsidR="002E7A71" w:rsidRPr="00D8722B">
        <w:t>art.20(2) ICCPR.</w:t>
      </w:r>
      <w:r w:rsidR="00D478FD" w:rsidRPr="00D8722B">
        <w:t xml:space="preserve"> </w:t>
      </w:r>
      <w:r w:rsidR="002572DE" w:rsidRPr="00D8722B">
        <w:t>Nevertheless,</w:t>
      </w:r>
      <w:r w:rsidR="001721E7" w:rsidRPr="00D8722B">
        <w:t xml:space="preserve"> the ‘vagueness and… lack of consensus around [hate speech’s] meaning can be abused to enable infringements on a wide range of lawful expression’, including the mere expression of hatred.</w:t>
      </w:r>
      <w:r w:rsidR="001721E7" w:rsidRPr="00D8722B">
        <w:rPr>
          <w:rStyle w:val="FootnoteReference"/>
        </w:rPr>
        <w:footnoteReference w:id="26"/>
      </w:r>
      <w:r w:rsidR="002B2ABD" w:rsidRPr="00D8722B">
        <w:t xml:space="preserve"> </w:t>
      </w:r>
      <w:r w:rsidR="00581398" w:rsidRPr="00D8722B">
        <w:t xml:space="preserve">English law prohibitions </w:t>
      </w:r>
      <w:r w:rsidR="00AA61A7" w:rsidRPr="00D8722B">
        <w:t xml:space="preserve">on hate speech are narrowly framed and </w:t>
      </w:r>
      <w:r w:rsidR="006A2A11" w:rsidRPr="00D8722B">
        <w:t>include specific protections for</w:t>
      </w:r>
      <w:r w:rsidR="00AA61A7" w:rsidRPr="00D8722B">
        <w:t xml:space="preserve"> free expression</w:t>
      </w:r>
      <w:r w:rsidR="009A1666" w:rsidRPr="00D8722B">
        <w:t xml:space="preserve"> (</w:t>
      </w:r>
      <w:r w:rsidR="00647168" w:rsidRPr="00D8722B">
        <w:t>Public Order Act 1986</w:t>
      </w:r>
      <w:r w:rsidR="009A1666" w:rsidRPr="00D8722B">
        <w:t>, ss17-23 and Part 3A).</w:t>
      </w:r>
      <w:r w:rsidR="002532BE" w:rsidRPr="00D8722B">
        <w:t xml:space="preserve"> </w:t>
      </w:r>
      <w:r w:rsidR="007F7C2A" w:rsidRPr="00D8722B">
        <w:t xml:space="preserve">Yet the informal meaning of ‘hate speech’ is much </w:t>
      </w:r>
      <w:r w:rsidR="00D47CD2" w:rsidRPr="00D8722B">
        <w:t>wider and vaguer</w:t>
      </w:r>
      <w:r w:rsidR="007F7C2A" w:rsidRPr="00D8722B">
        <w:t xml:space="preserve">, something </w:t>
      </w:r>
      <w:r w:rsidR="00984EFE" w:rsidRPr="00D8722B">
        <w:t xml:space="preserve">given official sanction through the recording of ‘non-crime hate incidents’ based on </w:t>
      </w:r>
      <w:r w:rsidR="009E67A0" w:rsidRPr="00D8722B">
        <w:t xml:space="preserve">the complainant’s </w:t>
      </w:r>
      <w:r w:rsidR="00984EFE" w:rsidRPr="00D8722B">
        <w:t>perception alone.</w:t>
      </w:r>
      <w:r w:rsidR="001C4042" w:rsidRPr="00D8722B">
        <w:t xml:space="preserve"> </w:t>
      </w:r>
      <w:r w:rsidR="005A6B67" w:rsidRPr="00D8722B">
        <w:t>As the Law Commission acknowledges, this risks</w:t>
      </w:r>
      <w:r w:rsidR="00684690" w:rsidRPr="00D8722B">
        <w:t xml:space="preserve"> </w:t>
      </w:r>
      <w:r w:rsidR="005A6B67" w:rsidRPr="00D8722B">
        <w:t>a chilling effect.</w:t>
      </w:r>
      <w:r w:rsidR="00015508" w:rsidRPr="00D8722B">
        <w:rPr>
          <w:rStyle w:val="FootnoteReference"/>
        </w:rPr>
        <w:footnoteReference w:id="27"/>
      </w:r>
      <w:r w:rsidR="00837659" w:rsidRPr="00D8722B">
        <w:t xml:space="preserve"> </w:t>
      </w:r>
      <w:r w:rsidR="00C73787" w:rsidRPr="00D8722B">
        <w:t xml:space="preserve">Whilst criticised by free speech campaigners, the Law Commission’s call for a consistent and coherent approach to hate speech law provides </w:t>
      </w:r>
      <w:r w:rsidR="00DD3EB9">
        <w:t>an</w:t>
      </w:r>
      <w:r w:rsidR="00C73787" w:rsidRPr="00D8722B">
        <w:t xml:space="preserve"> opportunity </w:t>
      </w:r>
      <w:r w:rsidR="00D95569" w:rsidRPr="00D8722B">
        <w:t>to</w:t>
      </w:r>
      <w:r w:rsidR="00991D55" w:rsidRPr="00D8722B">
        <w:t xml:space="preserve"> </w:t>
      </w:r>
      <w:r w:rsidR="004510A0" w:rsidRPr="00D8722B">
        <w:t>articulat</w:t>
      </w:r>
      <w:r w:rsidR="00D95569" w:rsidRPr="00D8722B">
        <w:t>e</w:t>
      </w:r>
      <w:r w:rsidR="00991D55" w:rsidRPr="00D8722B">
        <w:t xml:space="preserve"> a</w:t>
      </w:r>
      <w:r w:rsidR="00C73787" w:rsidRPr="00D8722B">
        <w:t xml:space="preserve"> clear and restrictive definition</w:t>
      </w:r>
      <w:r w:rsidR="00370B77" w:rsidRPr="00D8722B">
        <w:t>, consistent with international</w:t>
      </w:r>
      <w:r w:rsidR="00507499" w:rsidRPr="00D8722B">
        <w:t xml:space="preserve"> (rather than European)</w:t>
      </w:r>
      <w:r w:rsidR="00370B77" w:rsidRPr="00D8722B">
        <w:t xml:space="preserve"> human rights law</w:t>
      </w:r>
      <w:r w:rsidR="005C43C4" w:rsidRPr="00D8722B">
        <w:t xml:space="preserve">. </w:t>
      </w:r>
      <w:r w:rsidR="00252780" w:rsidRPr="00D8722B">
        <w:t xml:space="preserve">This should draw a clear line between hate and lawful speech, requiring that police databases and communications </w:t>
      </w:r>
      <w:r w:rsidR="005B6EA9" w:rsidRPr="00D8722B">
        <w:t xml:space="preserve">refer to the latter (more accurately) as </w:t>
      </w:r>
      <w:r w:rsidR="00252780" w:rsidRPr="00D8722B">
        <w:t>‘perceived hate incidents’.</w:t>
      </w:r>
    </w:p>
    <w:p w14:paraId="3B4A6041" w14:textId="0E0A5FBF" w:rsidR="007F645C" w:rsidRPr="00D8722B" w:rsidRDefault="007F645C" w:rsidP="007F645C">
      <w:pPr>
        <w:pStyle w:val="Heading2"/>
        <w:numPr>
          <w:ilvl w:val="0"/>
          <w:numId w:val="0"/>
        </w:numPr>
        <w:ind w:left="284" w:hanging="284"/>
        <w:rPr>
          <w:rFonts w:ascii="Times New Roman" w:hAnsi="Times New Roman" w:cs="Times New Roman"/>
        </w:rPr>
      </w:pPr>
      <w:r w:rsidRPr="00D8722B">
        <w:rPr>
          <w:rFonts w:ascii="Times New Roman" w:hAnsi="Times New Roman" w:cs="Times New Roman"/>
        </w:rPr>
        <w:t xml:space="preserve">2. </w:t>
      </w:r>
      <w:r w:rsidR="005268B5" w:rsidRPr="00D8722B">
        <w:rPr>
          <w:rFonts w:ascii="Times New Roman" w:hAnsi="Times New Roman" w:cs="Times New Roman"/>
        </w:rPr>
        <w:t xml:space="preserve">Calls for cancellation and </w:t>
      </w:r>
      <w:r w:rsidR="002E699D" w:rsidRPr="00D8722B">
        <w:rPr>
          <w:rFonts w:ascii="Times New Roman" w:hAnsi="Times New Roman" w:cs="Times New Roman"/>
        </w:rPr>
        <w:t>privacy</w:t>
      </w:r>
    </w:p>
    <w:p w14:paraId="437EA85C" w14:textId="54E732BF" w:rsidR="00CC181C" w:rsidRPr="00D8722B" w:rsidRDefault="00CC181C" w:rsidP="004B6364">
      <w:r w:rsidRPr="00D8722B">
        <w:t>Calls for cancellation based on</w:t>
      </w:r>
      <w:r w:rsidR="004B6364" w:rsidRPr="00D8722B">
        <w:t xml:space="preserve"> serious and</w:t>
      </w:r>
      <w:r w:rsidRPr="00D8722B">
        <w:t xml:space="preserve"> untrue accusations</w:t>
      </w:r>
      <w:r w:rsidR="004B6364" w:rsidRPr="00D8722B">
        <w:t xml:space="preserve"> are likely to give rise to an action in libel.</w:t>
      </w:r>
      <w:r w:rsidR="009B7D31" w:rsidRPr="00D8722B">
        <w:rPr>
          <w:rStyle w:val="FootnoteReference"/>
        </w:rPr>
        <w:footnoteReference w:id="28"/>
      </w:r>
      <w:r w:rsidR="002E6816" w:rsidRPr="00D8722B">
        <w:t xml:space="preserve"> </w:t>
      </w:r>
      <w:r w:rsidR="00E73103" w:rsidRPr="00D8722B">
        <w:t>Malicious</w:t>
      </w:r>
      <w:r w:rsidR="00ED4F25" w:rsidRPr="00D8722B">
        <w:t xml:space="preserve"> cancellation calls may also constitute civil or criminal harassmen</w:t>
      </w:r>
      <w:r w:rsidR="00E51391" w:rsidRPr="00D8722B">
        <w:t>t (</w:t>
      </w:r>
      <w:r w:rsidR="00413405" w:rsidRPr="00D8722B">
        <w:rPr>
          <w:i/>
          <w:iCs/>
        </w:rPr>
        <w:t xml:space="preserve">Plavelil v DPP </w:t>
      </w:r>
      <w:r w:rsidR="00413405" w:rsidRPr="00D8722B">
        <w:t>[2014] EWHC 736 (Admin</w:t>
      </w:r>
      <w:r w:rsidR="00FE2818" w:rsidRPr="00D8722B">
        <w:t xml:space="preserve">) and </w:t>
      </w:r>
      <w:r w:rsidR="00E51391" w:rsidRPr="00D8722B">
        <w:rPr>
          <w:i/>
          <w:iCs/>
        </w:rPr>
        <w:t xml:space="preserve">Kellett v DPP </w:t>
      </w:r>
      <w:r w:rsidR="00E51391" w:rsidRPr="00D8722B">
        <w:t>[2001] EWHC 107 (Admin))</w:t>
      </w:r>
      <w:r w:rsidR="005A1AB4" w:rsidRPr="00D8722B">
        <w:t>.</w:t>
      </w:r>
      <w:r w:rsidR="0064425B" w:rsidRPr="00D8722B">
        <w:t xml:space="preserve"> </w:t>
      </w:r>
      <w:r w:rsidR="00B955DE" w:rsidRPr="00D8722B">
        <w:t>Where</w:t>
      </w:r>
      <w:r w:rsidR="0064425B" w:rsidRPr="00D8722B">
        <w:t xml:space="preserve"> neither untrue nor otherwise unlawful, however, calls for cancellation are unlikely to give rise to tort</w:t>
      </w:r>
      <w:r w:rsidR="00EA764E" w:rsidRPr="00D8722B">
        <w:t>ious</w:t>
      </w:r>
      <w:r w:rsidR="0064425B" w:rsidRPr="00D8722B">
        <w:t xml:space="preserve"> </w:t>
      </w:r>
      <w:r w:rsidR="00542776" w:rsidRPr="00D8722B">
        <w:t xml:space="preserve">or criminal </w:t>
      </w:r>
      <w:r w:rsidR="0064425B" w:rsidRPr="00D8722B">
        <w:t xml:space="preserve">liability. </w:t>
      </w:r>
      <w:r w:rsidR="007C3B34" w:rsidRPr="00D8722B">
        <w:t>In particular, despite cancel culture</w:t>
      </w:r>
      <w:r w:rsidR="002E0005" w:rsidRPr="00D8722B">
        <w:t>’s collective nature</w:t>
      </w:r>
      <w:r w:rsidR="007C3B34" w:rsidRPr="00D8722B">
        <w:t xml:space="preserve">, an action in lawful means conspiracy is unlikely to arise: </w:t>
      </w:r>
      <w:r w:rsidR="0004084D" w:rsidRPr="00D8722B">
        <w:rPr>
          <w:i/>
          <w:iCs/>
        </w:rPr>
        <w:t xml:space="preserve">Scala </w:t>
      </w:r>
      <w:r w:rsidR="007C3B34" w:rsidRPr="00D8722B">
        <w:rPr>
          <w:i/>
          <w:iCs/>
        </w:rPr>
        <w:t xml:space="preserve">Ballroom (Wolverhampton) Ltd v Ratcliffe </w:t>
      </w:r>
      <w:r w:rsidR="007C3B34" w:rsidRPr="00D8722B">
        <w:t>[1958] EWC</w:t>
      </w:r>
      <w:r w:rsidR="001357A4" w:rsidRPr="00D8722B">
        <w:t>A Civ 4</w:t>
      </w:r>
      <w:r w:rsidR="007C3B34" w:rsidRPr="00D8722B">
        <w:t>. This is consistent with the understanding of the role of the state outlined above.</w:t>
      </w:r>
    </w:p>
    <w:p w14:paraId="1882608C" w14:textId="7C8C81EB" w:rsidR="00337482" w:rsidRPr="00D8722B" w:rsidRDefault="00337482" w:rsidP="007F645C">
      <w:r w:rsidRPr="00D8722B">
        <w:lastRenderedPageBreak/>
        <w:t xml:space="preserve">A difficult </w:t>
      </w:r>
      <w:r w:rsidR="00E0266E" w:rsidRPr="00D8722B">
        <w:t>case</w:t>
      </w:r>
      <w:r w:rsidRPr="00D8722B">
        <w:t xml:space="preserve"> is the law concerning </w:t>
      </w:r>
      <w:r w:rsidR="001D7278" w:rsidRPr="00D8722B">
        <w:t>privacy</w:t>
      </w:r>
      <w:r w:rsidRPr="00D8722B">
        <w:t xml:space="preserve"> – </w:t>
      </w:r>
      <w:r w:rsidR="00047ECA" w:rsidRPr="00D8722B">
        <w:t>notably</w:t>
      </w:r>
      <w:r w:rsidRPr="00D8722B">
        <w:t xml:space="preserve"> the ‘right to be forgotten’ in respect of old tweets and other material, privacy torts and rules around the</w:t>
      </w:r>
      <w:r w:rsidR="00052C85" w:rsidRPr="00D8722B">
        <w:t xml:space="preserve"> </w:t>
      </w:r>
      <w:r w:rsidRPr="00D8722B">
        <w:t xml:space="preserve">disclosure of police data. </w:t>
      </w:r>
      <w:r w:rsidR="00B469A3" w:rsidRPr="00D8722B">
        <w:t>Reinforcing the</w:t>
      </w:r>
      <w:r w:rsidR="00D070DD" w:rsidRPr="00D8722B">
        <w:t xml:space="preserve"> right to control one’s information </w:t>
      </w:r>
      <w:r w:rsidR="004172EF" w:rsidRPr="00D8722B">
        <w:t>strengthens autonomy</w:t>
      </w:r>
      <w:r w:rsidR="00FA7ECE" w:rsidRPr="00D8722B">
        <w:t xml:space="preserve"> in one sense</w:t>
      </w:r>
      <w:r w:rsidR="004172EF" w:rsidRPr="00D8722B">
        <w:t>, but does so at the cost o</w:t>
      </w:r>
      <w:r w:rsidR="00FA7ECE" w:rsidRPr="00D8722B">
        <w:t>f encouraging the</w:t>
      </w:r>
      <w:r w:rsidR="001E4DE9" w:rsidRPr="00D8722B">
        <w:t xml:space="preserve"> further</w:t>
      </w:r>
      <w:r w:rsidR="00FA7ECE" w:rsidRPr="00D8722B">
        <w:t xml:space="preserve"> sanitisation of the public square</w:t>
      </w:r>
      <w:r w:rsidR="001E4DE9" w:rsidRPr="00D8722B">
        <w:t>.</w:t>
      </w:r>
      <w:r w:rsidR="002106BF" w:rsidRPr="00D8722B">
        <w:t xml:space="preserve"> </w:t>
      </w:r>
      <w:r w:rsidR="002C371E" w:rsidRPr="00D8722B">
        <w:t>This engages a vast number of issues beyond the scope of free speech and so is not pursued further</w:t>
      </w:r>
      <w:r w:rsidR="00A3175C" w:rsidRPr="00D8722B">
        <w:t xml:space="preserve"> here.</w:t>
      </w:r>
    </w:p>
    <w:p w14:paraId="2A960A6E" w14:textId="20E1F5CC" w:rsidR="007F645C" w:rsidRPr="00D8722B" w:rsidRDefault="007F645C" w:rsidP="007F645C">
      <w:pPr>
        <w:pStyle w:val="Heading2"/>
        <w:numPr>
          <w:ilvl w:val="0"/>
          <w:numId w:val="0"/>
        </w:numPr>
        <w:ind w:left="284" w:hanging="284"/>
        <w:rPr>
          <w:rFonts w:ascii="Times New Roman" w:hAnsi="Times New Roman" w:cs="Times New Roman"/>
        </w:rPr>
      </w:pPr>
      <w:r w:rsidRPr="00D8722B">
        <w:rPr>
          <w:rFonts w:ascii="Times New Roman" w:hAnsi="Times New Roman" w:cs="Times New Roman"/>
        </w:rPr>
        <w:t xml:space="preserve">3. Intervening </w:t>
      </w:r>
      <w:r w:rsidR="00397E6D" w:rsidRPr="00D8722B">
        <w:rPr>
          <w:rFonts w:ascii="Times New Roman" w:hAnsi="Times New Roman" w:cs="Times New Roman"/>
        </w:rPr>
        <w:t>in institutions</w:t>
      </w:r>
      <w:r w:rsidR="0064287F" w:rsidRPr="00D8722B">
        <w:rPr>
          <w:rFonts w:ascii="Times New Roman" w:hAnsi="Times New Roman" w:cs="Times New Roman"/>
        </w:rPr>
        <w:t xml:space="preserve"> and intermediaries</w:t>
      </w:r>
    </w:p>
    <w:p w14:paraId="28F86FA9" w14:textId="7F0898CA" w:rsidR="00CC1B44" w:rsidRPr="00D8722B" w:rsidRDefault="00BC2150" w:rsidP="007F645C">
      <w:r w:rsidRPr="00D8722B">
        <w:t>Cancel</w:t>
      </w:r>
      <w:r w:rsidR="007E4DF3" w:rsidRPr="00D8722B">
        <w:t xml:space="preserve"> culture</w:t>
      </w:r>
      <w:r w:rsidR="00DF3A0C" w:rsidRPr="00D8722B">
        <w:t xml:space="preserve"> </w:t>
      </w:r>
      <w:r w:rsidR="007E4DF3" w:rsidRPr="00D8722B">
        <w:t>works primarily through influencing institutions and intermediaries</w:t>
      </w:r>
      <w:r w:rsidR="006E700B" w:rsidRPr="00D8722B">
        <w:t xml:space="preserve"> – employers, universities, platforms, contract-holder –</w:t>
      </w:r>
      <w:r w:rsidR="007E4DF3" w:rsidRPr="00D8722B">
        <w:t xml:space="preserve"> to ‘cancel’ the target. </w:t>
      </w:r>
      <w:r w:rsidR="000D52A8" w:rsidRPr="00D8722B">
        <w:t>They are vulnerable to this pressure</w:t>
      </w:r>
      <w:r w:rsidR="00A3198F" w:rsidRPr="00D8722B">
        <w:t xml:space="preserve">, not least for fear of </w:t>
      </w:r>
      <w:r w:rsidR="00F47838" w:rsidRPr="00D8722B">
        <w:t>themselves being</w:t>
      </w:r>
      <w:r w:rsidR="00A3198F" w:rsidRPr="00D8722B">
        <w:t xml:space="preserve"> </w:t>
      </w:r>
      <w:r w:rsidR="00F47838" w:rsidRPr="00D8722B">
        <w:t>‘</w:t>
      </w:r>
      <w:r w:rsidR="00A3198F" w:rsidRPr="00D8722B">
        <w:t>cancelled</w:t>
      </w:r>
      <w:r w:rsidR="00A71392" w:rsidRPr="00D8722B">
        <w:t>’</w:t>
      </w:r>
      <w:r w:rsidR="000D52A8" w:rsidRPr="00D8722B">
        <w:t>.</w:t>
      </w:r>
      <w:r w:rsidR="00CC1B44" w:rsidRPr="00D8722B">
        <w:t xml:space="preserve"> </w:t>
      </w:r>
      <w:r w:rsidR="00D5357A" w:rsidRPr="00D8722B">
        <w:t>Legal duties can act as a counterweight to this pressure</w:t>
      </w:r>
      <w:r w:rsidR="006E5978" w:rsidRPr="00D8722B">
        <w:t>. Critically, this counterweight does not interfere</w:t>
      </w:r>
      <w:r w:rsidR="005B538A" w:rsidRPr="00D8722B">
        <w:t xml:space="preserve"> with free speech.</w:t>
      </w:r>
    </w:p>
    <w:p w14:paraId="019245BD" w14:textId="693C5AE1" w:rsidR="0005016F" w:rsidRPr="00D8722B" w:rsidRDefault="002D268A" w:rsidP="007F645C">
      <w:r w:rsidRPr="00D8722B">
        <w:t>Equality, human rights and employment law</w:t>
      </w:r>
      <w:r w:rsidR="006F75C6" w:rsidRPr="00D8722B">
        <w:t xml:space="preserve"> already</w:t>
      </w:r>
      <w:r w:rsidRPr="00D8722B">
        <w:t xml:space="preserve"> provide individuals with various protections against these institutions. </w:t>
      </w:r>
      <w:r w:rsidR="00DF1A55" w:rsidRPr="00D8722B">
        <w:t>Claimants have contested speech-related dismissals and actions, sometimes successfully.</w:t>
      </w:r>
      <w:r w:rsidR="00DF1A55" w:rsidRPr="00D8722B">
        <w:rPr>
          <w:rStyle w:val="FootnoteReference"/>
        </w:rPr>
        <w:footnoteReference w:id="29"/>
      </w:r>
      <w:r w:rsidR="00DF1A55" w:rsidRPr="00D8722B">
        <w:t xml:space="preserve"> </w:t>
      </w:r>
      <w:r w:rsidR="00A660B3" w:rsidRPr="00D8722B">
        <w:t>However, t</w:t>
      </w:r>
      <w:r w:rsidR="00650889" w:rsidRPr="00D8722B">
        <w:t>hese protections have two shortcomings. First, they typically involve the claimant fitting their view into a major mainstream view, such as Christianity or gender critical feminism.</w:t>
      </w:r>
      <w:r w:rsidR="00650889" w:rsidRPr="00D8722B">
        <w:rPr>
          <w:rStyle w:val="FootnoteReference"/>
        </w:rPr>
        <w:footnoteReference w:id="30"/>
      </w:r>
      <w:r w:rsidR="00650889" w:rsidRPr="00D8722B">
        <w:t xml:space="preserve"> </w:t>
      </w:r>
      <w:r w:rsidR="00336C8B" w:rsidRPr="00D8722B">
        <w:t xml:space="preserve">But this only exacerbates the shift from individual autonomy – the heart of liberal free speech – to group rights. So far from promoting individual thought, it </w:t>
      </w:r>
      <w:r w:rsidR="00375939" w:rsidRPr="00D8722B">
        <w:t>replaces one form of conformity with another</w:t>
      </w:r>
      <w:r w:rsidR="00336C8B" w:rsidRPr="00D8722B">
        <w:t xml:space="preserve">. </w:t>
      </w:r>
      <w:r w:rsidR="009E3AC1" w:rsidRPr="00D8722B">
        <w:t xml:space="preserve">Second, </w:t>
      </w:r>
      <w:r w:rsidR="004B3F79" w:rsidRPr="00D8722B">
        <w:t xml:space="preserve">the </w:t>
      </w:r>
      <w:r w:rsidR="00A636B3" w:rsidRPr="00D8722B">
        <w:t>e</w:t>
      </w:r>
      <w:r w:rsidR="004B3F79" w:rsidRPr="00D8722B">
        <w:t xml:space="preserve">mployment </w:t>
      </w:r>
      <w:r w:rsidR="00A636B3" w:rsidRPr="00D8722B">
        <w:t>case-law</w:t>
      </w:r>
      <w:r w:rsidR="004B3F79" w:rsidRPr="00D8722B">
        <w:t xml:space="preserve"> only </w:t>
      </w:r>
      <w:r w:rsidR="00E86BB4" w:rsidRPr="00D8722B">
        <w:t>grants equality law protection to</w:t>
      </w:r>
      <w:r w:rsidR="004B3F79" w:rsidRPr="00D8722B">
        <w:t xml:space="preserve"> beliefs which are compatible with ‘human dignity’. This notoriously elastic term has, for instance, been interpreted as precluding gender critical views from protection.</w:t>
      </w:r>
      <w:r w:rsidR="004B3F79" w:rsidRPr="00D8722B">
        <w:rPr>
          <w:rStyle w:val="FootnoteReference"/>
        </w:rPr>
        <w:footnoteReference w:id="31"/>
      </w:r>
    </w:p>
    <w:p w14:paraId="4CA31055" w14:textId="3AF2FD2B" w:rsidR="00B743F0" w:rsidRPr="00D8722B" w:rsidRDefault="00DA33EE" w:rsidP="007F645C">
      <w:r w:rsidRPr="00D8722B">
        <w:t xml:space="preserve">An Act to protect minority speech from public pressure should therefore be adopted, taking a free speech, rather than an equality, framework. </w:t>
      </w:r>
      <w:r w:rsidR="001334DB" w:rsidRPr="00D8722B">
        <w:t xml:space="preserve">In general, this </w:t>
      </w:r>
      <w:r w:rsidR="00E5401A" w:rsidRPr="00D8722B">
        <w:t>should</w:t>
      </w:r>
      <w:r w:rsidR="00DF6476" w:rsidRPr="00D8722B">
        <w:t xml:space="preserve"> provide contractual or tortious protections against dismissal, disinvitation or contract termination where these are motivated by </w:t>
      </w:r>
      <w:r w:rsidR="0085110D" w:rsidRPr="00D8722B">
        <w:t>a person’s</w:t>
      </w:r>
      <w:r w:rsidR="00F20155" w:rsidRPr="00D8722B">
        <w:t xml:space="preserve"> </w:t>
      </w:r>
      <w:r w:rsidR="00DF6476" w:rsidRPr="00D8722B">
        <w:t xml:space="preserve">lawful speech and cannot be justified as the proportionate means of achieving a legitimate aim. </w:t>
      </w:r>
      <w:r w:rsidR="00901DAE" w:rsidRPr="00D8722B">
        <w:t xml:space="preserve">More specific private and public law duties </w:t>
      </w:r>
      <w:r w:rsidR="00542011">
        <w:t>will</w:t>
      </w:r>
      <w:r w:rsidR="00901DAE" w:rsidRPr="00D8722B">
        <w:t xml:space="preserve"> be necessary </w:t>
      </w:r>
      <w:r w:rsidR="002D18C5">
        <w:t xml:space="preserve">in </w:t>
      </w:r>
      <w:r w:rsidR="002D18C5">
        <w:lastRenderedPageBreak/>
        <w:t>particular sectors</w:t>
      </w:r>
      <w:r w:rsidR="00901DAE" w:rsidRPr="00D8722B">
        <w:t>, as shown by the very detailed framework regulating free speech in universities</w:t>
      </w:r>
      <w:r w:rsidR="00EA40F2" w:rsidRPr="00D8722B">
        <w:rPr>
          <w:rStyle w:val="FootnoteReference"/>
        </w:rPr>
        <w:footnoteReference w:id="32"/>
      </w:r>
      <w:r w:rsidR="00A36DFC" w:rsidRPr="00D8722B">
        <w:t xml:space="preserve"> and the different </w:t>
      </w:r>
      <w:r w:rsidR="00BA3F19" w:rsidRPr="00D8722B">
        <w:t>considerations applying to particular professions (</w:t>
      </w:r>
      <w:r w:rsidR="00E82700" w:rsidRPr="00D8722B">
        <w:rPr>
          <w:i/>
          <w:iCs/>
        </w:rPr>
        <w:t>Ngole</w:t>
      </w:r>
      <w:r w:rsidR="00FB61BF" w:rsidRPr="00D8722B">
        <w:t xml:space="preserve"> </w:t>
      </w:r>
      <w:r w:rsidR="00BC723D" w:rsidRPr="00D8722B">
        <w:t>§</w:t>
      </w:r>
      <w:r w:rsidR="00E82700" w:rsidRPr="00D8722B">
        <w:t>104</w:t>
      </w:r>
      <w:r w:rsidR="00BA3F19" w:rsidRPr="00D8722B">
        <w:t>).</w:t>
      </w:r>
    </w:p>
    <w:p w14:paraId="13CEA842" w14:textId="7D5C6E13" w:rsidR="0082145B" w:rsidRPr="00D8722B" w:rsidRDefault="007D0C78" w:rsidP="0082145B">
      <w:pPr>
        <w:pStyle w:val="Heading1"/>
      </w:pPr>
      <w:r w:rsidRPr="00D8722B">
        <w:t xml:space="preserve">V. </w:t>
      </w:r>
      <w:r w:rsidR="0082145B" w:rsidRPr="00D8722B">
        <w:t>Conclusion</w:t>
      </w:r>
    </w:p>
    <w:p w14:paraId="64670CBE" w14:textId="5ED128EF" w:rsidR="00956D9A" w:rsidRPr="00D8722B" w:rsidRDefault="00244423" w:rsidP="009D3648">
      <w:r w:rsidRPr="00D8722B">
        <w:t>Cancel culture is free speech. It also risks undermining free speech.</w:t>
      </w:r>
      <w:r w:rsidR="005A4DB8" w:rsidRPr="00D8722B">
        <w:t xml:space="preserve"> </w:t>
      </w:r>
      <w:r w:rsidR="00627318" w:rsidRPr="00D8722B">
        <w:t>The</w:t>
      </w:r>
      <w:r w:rsidR="0044308B" w:rsidRPr="00D8722B">
        <w:t xml:space="preserve"> risk</w:t>
      </w:r>
      <w:r w:rsidR="00C10CA4" w:rsidRPr="00D8722B">
        <w:t xml:space="preserve"> it poses</w:t>
      </w:r>
      <w:r w:rsidR="00A607AD" w:rsidRPr="00D8722B">
        <w:t xml:space="preserve"> must primarily be addressed by culture, not law.</w:t>
      </w:r>
      <w:r w:rsidR="00236020" w:rsidRPr="00D8722B">
        <w:t xml:space="preserve"> </w:t>
      </w:r>
      <w:r w:rsidR="00F10ADD" w:rsidRPr="00D8722B">
        <w:t>Nevertheless, t</w:t>
      </w:r>
      <w:r w:rsidR="00D9520E" w:rsidRPr="00D8722B">
        <w:t xml:space="preserve">he law </w:t>
      </w:r>
      <w:r w:rsidR="00F10ADD" w:rsidRPr="00D8722B">
        <w:t xml:space="preserve">has </w:t>
      </w:r>
      <w:r w:rsidR="00D9520E" w:rsidRPr="00D8722B">
        <w:t xml:space="preserve">an important role </w:t>
      </w:r>
      <w:r w:rsidR="00591346" w:rsidRPr="00D8722B">
        <w:t xml:space="preserve">in setting the cultural tone and intervening in narrow circumstances. </w:t>
      </w:r>
      <w:r w:rsidR="00A20D4F" w:rsidRPr="00D8722B">
        <w:t xml:space="preserve">In </w:t>
      </w:r>
      <w:r w:rsidR="0009715E" w:rsidRPr="00D8722B">
        <w:t>this respect</w:t>
      </w:r>
      <w:r w:rsidR="00A20D4F" w:rsidRPr="00D8722B">
        <w:t xml:space="preserve">, (i) </w:t>
      </w:r>
      <w:r w:rsidR="00033B1A" w:rsidRPr="00D8722B">
        <w:t xml:space="preserve">a </w:t>
      </w:r>
      <w:r w:rsidR="00CF0003" w:rsidRPr="00D8722B">
        <w:t xml:space="preserve">soft law should crystallise </w:t>
      </w:r>
      <w:r w:rsidR="00033B1A" w:rsidRPr="00D8722B">
        <w:t xml:space="preserve">the case-law on toleration and pluralism, </w:t>
      </w:r>
      <w:r w:rsidR="00CF0003" w:rsidRPr="00D8722B">
        <w:t xml:space="preserve">and the concept of ‘hate speech’ should be carefully restricted; (ii) remedies against calls for cancellation are limited but adequate; and (iii) </w:t>
      </w:r>
      <w:r w:rsidR="00097AD9" w:rsidRPr="00D8722B">
        <w:t xml:space="preserve">duties </w:t>
      </w:r>
      <w:r w:rsidR="009B0949" w:rsidRPr="00D8722B">
        <w:t>should be placed on</w:t>
      </w:r>
      <w:r w:rsidR="00097AD9" w:rsidRPr="00D8722B">
        <w:t xml:space="preserve"> institutions and intermediaries to justify cancellation</w:t>
      </w:r>
      <w:r w:rsidR="00D60224" w:rsidRPr="00D8722B">
        <w:t xml:space="preserve"> for speech.</w:t>
      </w:r>
      <w:r w:rsidR="005C5295" w:rsidRPr="00D8722B">
        <w:br w:type="page"/>
      </w:r>
    </w:p>
    <w:p w14:paraId="520A4DF4" w14:textId="223B7FE7" w:rsidR="0001406E" w:rsidRPr="00D8722B" w:rsidRDefault="0001406E" w:rsidP="0001406E">
      <w:r>
        <w:lastRenderedPageBreak/>
        <w:t xml:space="preserve">Word-count: </w:t>
      </w:r>
      <w:r w:rsidR="0020579D">
        <w:t>3,000.</w:t>
      </w:r>
    </w:p>
    <w:p w14:paraId="27F26768" w14:textId="489BD5D3" w:rsidR="005C5295" w:rsidRPr="00D8722B" w:rsidRDefault="005C5295" w:rsidP="009D3648">
      <w:r w:rsidRPr="00D8722B">
        <w:t xml:space="preserve">I hereby declare that I am qualified to </w:t>
      </w:r>
      <w:r w:rsidR="0009126E" w:rsidRPr="00D8722B">
        <w:t>enter the 2020 Jonathan Brock QC Memorial Essay Prize.</w:t>
      </w:r>
    </w:p>
    <w:p w14:paraId="669C6A7C" w14:textId="6EFAA231" w:rsidR="005C5295" w:rsidRPr="00D8722B" w:rsidRDefault="000A6873" w:rsidP="009D3648">
      <w:r w:rsidRPr="00D8722B">
        <w:t xml:space="preserve">Name: </w:t>
      </w:r>
      <w:r w:rsidR="005C5295" w:rsidRPr="00D8722B">
        <w:t>Niall Coghlan</w:t>
      </w:r>
    </w:p>
    <w:p w14:paraId="5ACD9553" w14:textId="123143F8" w:rsidR="005C5295" w:rsidRPr="00D8722B" w:rsidRDefault="000A6873" w:rsidP="009D3648">
      <w:r w:rsidRPr="00D8722B">
        <w:t xml:space="preserve">Work details: </w:t>
      </w:r>
      <w:r w:rsidR="005C5295" w:rsidRPr="00D8722B">
        <w:t xml:space="preserve">Government Legal Department, </w:t>
      </w:r>
      <w:r w:rsidRPr="00D8722B">
        <w:t>102 Petty France, Westminster, London, SW1H 9GL (</w:t>
      </w:r>
      <w:r w:rsidRPr="00D8722B">
        <w:rPr>
          <w:i/>
          <w:iCs/>
        </w:rPr>
        <w:t>Currently on a career break undertaking a Ph.D. at the European University Institute, Florence</w:t>
      </w:r>
      <w:r w:rsidRPr="00D8722B">
        <w:t>).</w:t>
      </w:r>
    </w:p>
    <w:p w14:paraId="5209C8AC" w14:textId="40040D8E" w:rsidR="000A6873" w:rsidRPr="00D8722B" w:rsidRDefault="000A6873" w:rsidP="009D3648">
      <w:r w:rsidRPr="00D8722B">
        <w:t>Email</w:t>
      </w:r>
      <w:r w:rsidR="005B5F25" w:rsidRPr="00D8722B">
        <w:t xml:space="preserve">: </w:t>
      </w:r>
      <w:hyperlink r:id="rId8" w:history="1">
        <w:r w:rsidR="005B5F25" w:rsidRPr="00D8722B">
          <w:rPr>
            <w:rStyle w:val="Hyperlink"/>
          </w:rPr>
          <w:t>niall.coghlan@eui.eu</w:t>
        </w:r>
      </w:hyperlink>
      <w:r w:rsidR="005B5F25" w:rsidRPr="00D8722B">
        <w:t xml:space="preserve">  </w:t>
      </w:r>
    </w:p>
    <w:p w14:paraId="38D5799A" w14:textId="4FC34E27" w:rsidR="000A6873" w:rsidRDefault="000A6873" w:rsidP="009D3648">
      <w:r w:rsidRPr="00D8722B">
        <w:t>Year of call: 2015</w:t>
      </w:r>
    </w:p>
    <w:p w14:paraId="76E6FB2A" w14:textId="77777777" w:rsidR="0001406E" w:rsidRPr="00D8722B" w:rsidRDefault="0001406E"/>
    <w:sectPr w:rsidR="0001406E" w:rsidRPr="00D8722B" w:rsidSect="005F1BBA">
      <w:headerReference w:type="default" r:id="rId9"/>
      <w:footerReference w:type="even" r:id="rId10"/>
      <w:footerReference w:type="defaul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75455A" w14:textId="77777777" w:rsidR="00D8137E" w:rsidRDefault="00D8137E" w:rsidP="009D3648">
      <w:r>
        <w:separator/>
      </w:r>
    </w:p>
  </w:endnote>
  <w:endnote w:type="continuationSeparator" w:id="0">
    <w:p w14:paraId="0913749C" w14:textId="77777777" w:rsidR="00D8137E" w:rsidRDefault="00D8137E" w:rsidP="009D3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926033" w14:textId="77777777" w:rsidR="005B1988" w:rsidRDefault="005B1988" w:rsidP="009D3648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815F1E" w14:textId="77777777" w:rsidR="005B1988" w:rsidRDefault="005B1988" w:rsidP="009D36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F52D97" w14:textId="77777777" w:rsidR="005B1988" w:rsidRPr="00F95A99" w:rsidRDefault="005B1988" w:rsidP="00463B8C">
    <w:pPr>
      <w:pStyle w:val="Footer"/>
      <w:jc w:val="center"/>
      <w:rPr>
        <w:rStyle w:val="PageNumber"/>
      </w:rPr>
    </w:pPr>
    <w:r w:rsidRPr="00F95A99">
      <w:rPr>
        <w:rStyle w:val="PageNumber"/>
      </w:rPr>
      <w:fldChar w:fldCharType="begin"/>
    </w:r>
    <w:r w:rsidRPr="00F95A99">
      <w:rPr>
        <w:rStyle w:val="PageNumber"/>
      </w:rPr>
      <w:instrText xml:space="preserve">PAGE  </w:instrText>
    </w:r>
    <w:r w:rsidRPr="00F95A99">
      <w:rPr>
        <w:rStyle w:val="PageNumber"/>
      </w:rPr>
      <w:fldChar w:fldCharType="separate"/>
    </w:r>
    <w:r w:rsidRPr="00F95A99">
      <w:rPr>
        <w:rStyle w:val="PageNumber"/>
        <w:noProof/>
      </w:rPr>
      <w:t>1</w:t>
    </w:r>
    <w:r w:rsidRPr="00F95A99">
      <w:rPr>
        <w:rStyle w:val="PageNumber"/>
      </w:rPr>
      <w:fldChar w:fldCharType="end"/>
    </w:r>
  </w:p>
  <w:p w14:paraId="05E2A58B" w14:textId="77777777" w:rsidR="005B1988" w:rsidRPr="00F95A99" w:rsidRDefault="005B1988" w:rsidP="009D36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7F4F99" w14:textId="77777777" w:rsidR="00D8137E" w:rsidRDefault="00D8137E" w:rsidP="00463B8C">
      <w:pPr>
        <w:spacing w:after="0" w:line="240" w:lineRule="auto"/>
      </w:pPr>
      <w:r>
        <w:separator/>
      </w:r>
    </w:p>
  </w:footnote>
  <w:footnote w:type="continuationSeparator" w:id="0">
    <w:p w14:paraId="6DEC4C95" w14:textId="77777777" w:rsidR="00D8137E" w:rsidRDefault="00D8137E" w:rsidP="009D3648">
      <w:r>
        <w:continuationSeparator/>
      </w:r>
    </w:p>
  </w:footnote>
  <w:footnote w:id="1">
    <w:p w14:paraId="66223C68" w14:textId="16FE5ACD" w:rsidR="005B1988" w:rsidRPr="00427B10" w:rsidRDefault="005B198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  <w:iCs/>
        </w:rPr>
        <w:t>Henry VI, Part 2</w:t>
      </w:r>
      <w:r>
        <w:t xml:space="preserve">, Act V, scene 3, cited in </w:t>
      </w:r>
      <w:r>
        <w:rPr>
          <w:i/>
          <w:iCs/>
        </w:rPr>
        <w:t xml:space="preserve">R(Miller) v College of Policing </w:t>
      </w:r>
      <w:r>
        <w:t xml:space="preserve">[2020] EWHC 225 (Admin) </w:t>
      </w:r>
      <w:r w:rsidR="00A91168">
        <w:t>§</w:t>
      </w:r>
      <w:r>
        <w:t>12.</w:t>
      </w:r>
    </w:p>
  </w:footnote>
  <w:footnote w:id="2">
    <w:p w14:paraId="0CDC075C" w14:textId="33BEF21D" w:rsidR="005B1988" w:rsidRPr="001F6A9B" w:rsidRDefault="005B198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  <w:iCs/>
        </w:rPr>
        <w:t xml:space="preserve">Redmond-Bate v DPP </w:t>
      </w:r>
      <w:r w:rsidR="00B948E3">
        <w:t>[1999] EWHC 733 (Admin)</w:t>
      </w:r>
      <w:r w:rsidR="00A91168">
        <w:t>, §</w:t>
      </w:r>
      <w:r>
        <w:t>20.</w:t>
      </w:r>
    </w:p>
  </w:footnote>
  <w:footnote w:id="3">
    <w:p w14:paraId="2F37D02D" w14:textId="17B4F527" w:rsidR="005B1988" w:rsidRPr="00990154" w:rsidRDefault="005B1988" w:rsidP="009D69F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  <w:iCs/>
        </w:rPr>
        <w:t xml:space="preserve">DPP v Ziegler </w:t>
      </w:r>
      <w:r>
        <w:t xml:space="preserve">[2019] </w:t>
      </w:r>
      <w:r w:rsidR="002904B5">
        <w:t>EWHC 71 (Admin)</w:t>
      </w:r>
      <w:r>
        <w:t xml:space="preserve"> </w:t>
      </w:r>
      <w:r w:rsidR="004E547F">
        <w:t>§</w:t>
      </w:r>
      <w:r>
        <w:t>49(i)</w:t>
      </w:r>
      <w:r w:rsidR="00CD098F">
        <w:t xml:space="preserve">, </w:t>
      </w:r>
      <w:r>
        <w:t xml:space="preserve">(iv); Mill, </w:t>
      </w:r>
      <w:r w:rsidR="00CD098F">
        <w:rPr>
          <w:i/>
          <w:iCs/>
        </w:rPr>
        <w:t>On Liberty</w:t>
      </w:r>
      <w:r w:rsidR="00322C1A">
        <w:t xml:space="preserve"> (</w:t>
      </w:r>
      <w:r w:rsidR="00FB4B38">
        <w:t xml:space="preserve">Parker </w:t>
      </w:r>
      <w:r w:rsidR="00322C1A">
        <w:t>1859)</w:t>
      </w:r>
      <w:r w:rsidR="00FB4B38">
        <w:t>, ch</w:t>
      </w:r>
      <w:r w:rsidR="000F0AAC">
        <w:t>II</w:t>
      </w:r>
      <w:r>
        <w:t>.</w:t>
      </w:r>
    </w:p>
  </w:footnote>
  <w:footnote w:id="4">
    <w:p w14:paraId="242C31B6" w14:textId="6E5335DC" w:rsidR="005B1988" w:rsidRPr="008E3C67" w:rsidRDefault="005B198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  <w:iCs/>
        </w:rPr>
        <w:t xml:space="preserve">Ziegler </w:t>
      </w:r>
      <w:r w:rsidR="00212C1C">
        <w:t>§</w:t>
      </w:r>
      <w:r>
        <w:t>49(ii); Milton,</w:t>
      </w:r>
      <w:r w:rsidR="009762AF">
        <w:t xml:space="preserve"> </w:t>
      </w:r>
      <w:r w:rsidR="00DD2B29">
        <w:t>‘</w:t>
      </w:r>
      <w:r w:rsidR="009762AF" w:rsidRPr="00DD2B29">
        <w:t>Areopag</w:t>
      </w:r>
      <w:r w:rsidR="00640946">
        <w:t>i</w:t>
      </w:r>
      <w:r w:rsidR="009762AF" w:rsidRPr="00DD2B29">
        <w:t>tica</w:t>
      </w:r>
      <w:r w:rsidR="00DD2B29">
        <w:t xml:space="preserve">’ in </w:t>
      </w:r>
      <w:r w:rsidR="00DD2B29">
        <w:rPr>
          <w:i/>
          <w:iCs/>
        </w:rPr>
        <w:t xml:space="preserve">English </w:t>
      </w:r>
      <w:r w:rsidR="0066364A">
        <w:rPr>
          <w:i/>
          <w:iCs/>
        </w:rPr>
        <w:t>M</w:t>
      </w:r>
      <w:r w:rsidR="00DD2B29">
        <w:rPr>
          <w:i/>
          <w:iCs/>
        </w:rPr>
        <w:t xml:space="preserve">inor </w:t>
      </w:r>
      <w:r w:rsidR="0066364A">
        <w:rPr>
          <w:i/>
          <w:iCs/>
        </w:rPr>
        <w:t>P</w:t>
      </w:r>
      <w:r w:rsidR="00DD2B29">
        <w:rPr>
          <w:i/>
          <w:iCs/>
        </w:rPr>
        <w:t xml:space="preserve">oems </w:t>
      </w:r>
      <w:r w:rsidR="00DD2B29">
        <w:t>(Encyclopaedia Britannica 1990)</w:t>
      </w:r>
      <w:r w:rsidR="009762AF">
        <w:t>,</w:t>
      </w:r>
      <w:r>
        <w:t xml:space="preserve"> p410; Mill</w:t>
      </w:r>
      <w:r w:rsidR="002D32CE">
        <w:t>, pp31-2</w:t>
      </w:r>
      <w:r>
        <w:t>.</w:t>
      </w:r>
    </w:p>
  </w:footnote>
  <w:footnote w:id="5">
    <w:p w14:paraId="5444C2BC" w14:textId="0D436988" w:rsidR="005B1988" w:rsidRDefault="005B198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  <w:iCs/>
        </w:rPr>
        <w:t xml:space="preserve">Trimingham v Associated Newspapers Limited </w:t>
      </w:r>
      <w:r>
        <w:t>[2012] EWHC 1296 (QB)</w:t>
      </w:r>
      <w:r w:rsidR="00D37AF7">
        <w:t>, §</w:t>
      </w:r>
      <w:r>
        <w:t>265.</w:t>
      </w:r>
    </w:p>
  </w:footnote>
  <w:footnote w:id="6">
    <w:p w14:paraId="2F132B23" w14:textId="14B61F9A" w:rsidR="005B1988" w:rsidRPr="00E82934" w:rsidRDefault="005B198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  <w:iCs/>
        </w:rPr>
        <w:t xml:space="preserve">Ziegler </w:t>
      </w:r>
      <w:r w:rsidR="00D4120A">
        <w:t>§</w:t>
      </w:r>
      <w:r>
        <w:t xml:space="preserve">49(iii); </w:t>
      </w:r>
      <w:r w:rsidRPr="00F315A7">
        <w:rPr>
          <w:i/>
          <w:iCs/>
        </w:rPr>
        <w:t>R v Shayler</w:t>
      </w:r>
      <w:r w:rsidRPr="00F315A7">
        <w:t xml:space="preserve"> [200</w:t>
      </w:r>
      <w:r w:rsidR="0006258C">
        <w:t>2] UKHL 11</w:t>
      </w:r>
      <w:r w:rsidRPr="00F315A7">
        <w:t xml:space="preserve">, </w:t>
      </w:r>
      <w:r w:rsidR="00D37AF7">
        <w:t>§</w:t>
      </w:r>
      <w:r w:rsidRPr="00F315A7">
        <w:t>21</w:t>
      </w:r>
      <w:r w:rsidR="00BC1305">
        <w:t>.</w:t>
      </w:r>
    </w:p>
  </w:footnote>
  <w:footnote w:id="7">
    <w:p w14:paraId="42B2C21E" w14:textId="7107FFE3" w:rsidR="005B1988" w:rsidRDefault="005B1988">
      <w:pPr>
        <w:pStyle w:val="FootnoteText"/>
      </w:pPr>
      <w:r>
        <w:rPr>
          <w:rStyle w:val="FootnoteReference"/>
        </w:rPr>
        <w:footnoteRef/>
      </w:r>
      <w:r>
        <w:t xml:space="preserve"> Mill</w:t>
      </w:r>
      <w:r w:rsidR="00C85CFB">
        <w:t xml:space="preserve">, </w:t>
      </w:r>
      <w:r w:rsidR="00B317EF">
        <w:t>pp38-9</w:t>
      </w:r>
      <w:r>
        <w:t xml:space="preserve">. </w:t>
      </w:r>
    </w:p>
  </w:footnote>
  <w:footnote w:id="8">
    <w:p w14:paraId="14DE99F7" w14:textId="555ECB67" w:rsidR="005B1988" w:rsidRDefault="005B198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="005A1C33" w:rsidRPr="004078DA">
          <w:rPr>
            <w:rStyle w:val="Hyperlink"/>
          </w:rPr>
          <w:t>https://plato.stanford.edu/entries/freedom-speech/</w:t>
        </w:r>
      </w:hyperlink>
      <w:r w:rsidR="005A1C33">
        <w:t xml:space="preserve">. </w:t>
      </w:r>
    </w:p>
  </w:footnote>
  <w:footnote w:id="9">
    <w:p w14:paraId="44D31B04" w14:textId="0EB7983A" w:rsidR="007A089E" w:rsidRDefault="007A089E">
      <w:pPr>
        <w:pStyle w:val="FootnoteText"/>
      </w:pPr>
      <w:r>
        <w:rPr>
          <w:rStyle w:val="FootnoteReference"/>
        </w:rPr>
        <w:footnoteRef/>
      </w:r>
      <w:r>
        <w:t xml:space="preserve"> Bayle, ‘Sur les libellés diffamatoires’ (1702).</w:t>
      </w:r>
    </w:p>
  </w:footnote>
  <w:footnote w:id="10">
    <w:p w14:paraId="139786CA" w14:textId="05A29287" w:rsidR="005B1988" w:rsidRPr="002B3F55" w:rsidRDefault="005B1988" w:rsidP="003F3443">
      <w:pPr>
        <w:pStyle w:val="FootnoteText"/>
      </w:pPr>
      <w:r>
        <w:rPr>
          <w:rStyle w:val="FootnoteReference"/>
        </w:rPr>
        <w:footnoteRef/>
      </w:r>
      <w:r>
        <w:t xml:space="preserve"> Mill, p</w:t>
      </w:r>
      <w:r w:rsidR="001F4F46">
        <w:t>58</w:t>
      </w:r>
      <w:r>
        <w:t>.</w:t>
      </w:r>
      <w:r w:rsidRPr="00DB1E94">
        <w:t xml:space="preserve"> </w:t>
      </w:r>
      <w:r>
        <w:t xml:space="preserve">Compare </w:t>
      </w:r>
      <w:hyperlink r:id="rId2" w:history="1">
        <w:r w:rsidR="00FD228E" w:rsidRPr="004078DA">
          <w:rPr>
            <w:rStyle w:val="Hyperlink"/>
          </w:rPr>
          <w:t>https://www.orwellfoundation.com/the-orwell-foundation/orwell/essays-and-other-works/the-freedom-of-the-press/</w:t>
        </w:r>
      </w:hyperlink>
      <w:r w:rsidR="00FD228E">
        <w:t xml:space="preserve">. </w:t>
      </w:r>
    </w:p>
  </w:footnote>
  <w:footnote w:id="11">
    <w:p w14:paraId="556DB92F" w14:textId="777D6336" w:rsidR="005B1988" w:rsidRDefault="005B198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3" w:history="1">
        <w:r w:rsidR="00840357" w:rsidRPr="004078DA">
          <w:rPr>
            <w:rStyle w:val="Hyperlink"/>
          </w:rPr>
          <w:t>https://www.harpersbazaar.com/uk/culture/a33296561/cancel-culture-a-force-for-good-or-a-threat-to-free-speech/</w:t>
        </w:r>
      </w:hyperlink>
      <w:r>
        <w:t xml:space="preserve">. This essay, </w:t>
      </w:r>
      <w:r w:rsidR="00B017F4">
        <w:t>like its</w:t>
      </w:r>
      <w:r>
        <w:t xml:space="preserve"> title, will focus on cancellation </w:t>
      </w:r>
      <w:r w:rsidR="00D2393C">
        <w:t>targeting</w:t>
      </w:r>
      <w:r>
        <w:t xml:space="preserve"> speech</w:t>
      </w:r>
      <w:r w:rsidR="00C61DDA">
        <w:t xml:space="preserve">, not </w:t>
      </w:r>
      <w:r>
        <w:t xml:space="preserve">acts. </w:t>
      </w:r>
    </w:p>
  </w:footnote>
  <w:footnote w:id="12">
    <w:p w14:paraId="0E267267" w14:textId="439F88ED" w:rsidR="005B1988" w:rsidRDefault="005B198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4" w:history="1">
        <w:r w:rsidR="00983A30" w:rsidRPr="004078DA">
          <w:rPr>
            <w:rStyle w:val="Hyperlink"/>
          </w:rPr>
          <w:t>https://harpers.org/a-letter-on-justice-and-open-debate/</w:t>
        </w:r>
      </w:hyperlink>
      <w:r w:rsidR="00983A30">
        <w:t xml:space="preserve"> </w:t>
      </w:r>
    </w:p>
  </w:footnote>
  <w:footnote w:id="13">
    <w:p w14:paraId="2D10DFA8" w14:textId="0DBC5E0D" w:rsidR="005B1988" w:rsidRDefault="005B198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5" w:history="1">
        <w:r w:rsidR="00983A30" w:rsidRPr="004078DA">
          <w:rPr>
            <w:rStyle w:val="Hyperlink"/>
          </w:rPr>
          <w:t>https://www.objectivejournalism.org/p/a-more-specific-letter-on-justice</w:t>
        </w:r>
      </w:hyperlink>
      <w:r w:rsidR="00983A30">
        <w:t xml:space="preserve"> </w:t>
      </w:r>
    </w:p>
  </w:footnote>
  <w:footnote w:id="14">
    <w:p w14:paraId="01427B8C" w14:textId="77AD70AB" w:rsidR="005B1988" w:rsidRDefault="005B1988">
      <w:pPr>
        <w:pStyle w:val="FootnoteText"/>
      </w:pPr>
      <w:r>
        <w:rPr>
          <w:rStyle w:val="FootnoteReference"/>
        </w:rPr>
        <w:footnoteRef/>
      </w:r>
      <w:r>
        <w:t xml:space="preserve"> E.g. </w:t>
      </w:r>
      <w:hyperlink r:id="rId6" w:history="1">
        <w:r w:rsidRPr="004078DA">
          <w:rPr>
            <w:rStyle w:val="Hyperlink"/>
          </w:rPr>
          <w:t>https://www.theguardian.com/world/2019/sep/03/the-myth-of-the-free-speech-crisis</w:t>
        </w:r>
      </w:hyperlink>
      <w:r w:rsidR="00983A30">
        <w:t>.</w:t>
      </w:r>
    </w:p>
  </w:footnote>
  <w:footnote w:id="15">
    <w:p w14:paraId="563B2678" w14:textId="0C6E13B1" w:rsidR="005B1988" w:rsidRPr="00AF1CB0" w:rsidRDefault="005B1988">
      <w:pPr>
        <w:pStyle w:val="FootnoteText"/>
      </w:pPr>
      <w:r>
        <w:rPr>
          <w:rStyle w:val="FootnoteReference"/>
        </w:rPr>
        <w:footnoteRef/>
      </w:r>
      <w:r>
        <w:t xml:space="preserve"> Compare Fiss, </w:t>
      </w:r>
      <w:r>
        <w:rPr>
          <w:i/>
          <w:iCs/>
        </w:rPr>
        <w:t>The Irony of Free Speech</w:t>
      </w:r>
      <w:r>
        <w:t xml:space="preserve"> (HUP 1996), p16</w:t>
      </w:r>
      <w:r w:rsidR="00CB7C3F">
        <w:t>.</w:t>
      </w:r>
    </w:p>
  </w:footnote>
  <w:footnote w:id="16">
    <w:p w14:paraId="1614517B" w14:textId="378032FD" w:rsidR="00936702" w:rsidRPr="00A11547" w:rsidRDefault="00936702" w:rsidP="00936702">
      <w:pPr>
        <w:pStyle w:val="FootnoteText"/>
      </w:pPr>
      <w:r>
        <w:rPr>
          <w:rStyle w:val="FootnoteReference"/>
        </w:rPr>
        <w:footnoteRef/>
      </w:r>
      <w:r>
        <w:t xml:space="preserve"> Jones, </w:t>
      </w:r>
      <w:r>
        <w:rPr>
          <w:i/>
          <w:iCs/>
        </w:rPr>
        <w:t>Essays on Toleration</w:t>
      </w:r>
      <w:r>
        <w:t xml:space="preserve"> (ECPR 2018), pp214-217</w:t>
      </w:r>
      <w:r w:rsidR="002F20BE">
        <w:t xml:space="preserve">; </w:t>
      </w:r>
      <w:r w:rsidR="002F20BE">
        <w:rPr>
          <w:i/>
          <w:iCs/>
        </w:rPr>
        <w:t>Miller</w:t>
      </w:r>
      <w:r w:rsidR="002F20BE">
        <w:t>, §250.</w:t>
      </w:r>
    </w:p>
  </w:footnote>
  <w:footnote w:id="17">
    <w:p w14:paraId="626B2D9A" w14:textId="0A0BCB59" w:rsidR="00CC42CE" w:rsidRDefault="00CC42CE" w:rsidP="00CC42CE">
      <w:pPr>
        <w:pStyle w:val="FootnoteText"/>
      </w:pPr>
      <w:r>
        <w:rPr>
          <w:rStyle w:val="FootnoteReference"/>
        </w:rPr>
        <w:footnoteRef/>
      </w:r>
      <w:r>
        <w:t xml:space="preserve"> Milton</w:t>
      </w:r>
      <w:r w:rsidR="000F5D35">
        <w:t>, p408.</w:t>
      </w:r>
    </w:p>
  </w:footnote>
  <w:footnote w:id="18">
    <w:p w14:paraId="0C490577" w14:textId="0504573C" w:rsidR="00CB7960" w:rsidRPr="00E010DF" w:rsidRDefault="00CB7960" w:rsidP="00CB796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6A1294">
        <w:rPr>
          <w:i/>
          <w:iCs/>
        </w:rPr>
        <w:t xml:space="preserve">Dink v. Turkey </w:t>
      </w:r>
      <w:r w:rsidR="006A1294">
        <w:t xml:space="preserve">(2668/07), 14 September 2010; </w:t>
      </w:r>
      <w:r w:rsidR="00443017">
        <w:rPr>
          <w:i/>
          <w:iCs/>
        </w:rPr>
        <w:t>Herbai v. Hungary</w:t>
      </w:r>
      <w:r w:rsidR="00443017">
        <w:t xml:space="preserve"> (11608/15</w:t>
      </w:r>
      <w:r w:rsidR="008F4AC3">
        <w:t>)</w:t>
      </w:r>
      <w:r w:rsidR="00443017">
        <w:t xml:space="preserve">, 5 November 2019; </w:t>
      </w:r>
      <w:r w:rsidR="00E010DF">
        <w:rPr>
          <w:i/>
          <w:iCs/>
        </w:rPr>
        <w:t xml:space="preserve">Mustafa v. Sweden </w:t>
      </w:r>
      <w:r w:rsidR="00E010DF">
        <w:t>(23883/06), 16 December 2008.</w:t>
      </w:r>
    </w:p>
  </w:footnote>
  <w:footnote w:id="19">
    <w:p w14:paraId="1FFAA686" w14:textId="77777777" w:rsidR="00B84CB6" w:rsidRDefault="00B84CB6" w:rsidP="00B84CB6">
      <w:pPr>
        <w:pStyle w:val="FootnoteText"/>
      </w:pPr>
      <w:r>
        <w:rPr>
          <w:rStyle w:val="FootnoteReference"/>
        </w:rPr>
        <w:footnoteRef/>
      </w:r>
      <w:r>
        <w:t xml:space="preserve"> Milton, p406</w:t>
      </w:r>
    </w:p>
  </w:footnote>
  <w:footnote w:id="20">
    <w:p w14:paraId="0A5EF4D1" w14:textId="3E11CA38" w:rsidR="007D0B71" w:rsidRPr="0048642C" w:rsidRDefault="007D0B71">
      <w:pPr>
        <w:pStyle w:val="FootnoteText"/>
        <w:rPr>
          <w:i/>
          <w:iCs/>
        </w:rPr>
      </w:pPr>
      <w:r>
        <w:rPr>
          <w:rStyle w:val="FootnoteReference"/>
        </w:rPr>
        <w:footnoteRef/>
      </w:r>
      <w:r>
        <w:t xml:space="preserve"> Eg.</w:t>
      </w:r>
      <w:r w:rsidR="00E11B26">
        <w:t xml:space="preserve"> </w:t>
      </w:r>
      <w:r w:rsidR="00E11B26">
        <w:rPr>
          <w:i/>
          <w:iCs/>
        </w:rPr>
        <w:t xml:space="preserve">Reynolds v Times Newspapers </w:t>
      </w:r>
      <w:r w:rsidR="00E11B26">
        <w:t>[1999] UKHL 45</w:t>
      </w:r>
      <w:r w:rsidR="0051723C">
        <w:t xml:space="preserve"> (free speech vs reputation)</w:t>
      </w:r>
      <w:r w:rsidR="00E11B26">
        <w:t>,</w:t>
      </w:r>
      <w:r w:rsidR="00D21D7B">
        <w:t xml:space="preserve"> </w:t>
      </w:r>
      <w:r w:rsidR="00D21D7B" w:rsidRPr="00E11B26">
        <w:rPr>
          <w:i/>
          <w:iCs/>
        </w:rPr>
        <w:t>Trimmington</w:t>
      </w:r>
      <w:r w:rsidR="0051723C">
        <w:t xml:space="preserve">, §267 (free speech vs </w:t>
      </w:r>
      <w:r w:rsidR="00FD5F68">
        <w:t>protection from harassment</w:t>
      </w:r>
      <w:r w:rsidR="0051723C">
        <w:t>)</w:t>
      </w:r>
      <w:r>
        <w:t>.</w:t>
      </w:r>
    </w:p>
  </w:footnote>
  <w:footnote w:id="21">
    <w:p w14:paraId="72402613" w14:textId="27412FAB" w:rsidR="005B1988" w:rsidRDefault="005B198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29684A">
        <w:t xml:space="preserve">Laird, </w:t>
      </w:r>
      <w:r w:rsidR="0029684A">
        <w:rPr>
          <w:i/>
          <w:iCs/>
        </w:rPr>
        <w:t xml:space="preserve">Subversive Law in Ireland </w:t>
      </w:r>
      <w:r w:rsidR="0029684A">
        <w:t>(Four Courts 2005), pp32-42</w:t>
      </w:r>
      <w:r>
        <w:t>.</w:t>
      </w:r>
    </w:p>
  </w:footnote>
  <w:footnote w:id="22">
    <w:p w14:paraId="165BD397" w14:textId="46F9AA72" w:rsidR="005B1988" w:rsidRPr="008333B7" w:rsidRDefault="005B198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1B4949">
        <w:t>Fn12</w:t>
      </w:r>
      <w:r>
        <w:t xml:space="preserve">; Blackford, </w:t>
      </w:r>
      <w:r>
        <w:rPr>
          <w:i/>
          <w:iCs/>
        </w:rPr>
        <w:t>The Tyranny of Opinion</w:t>
      </w:r>
      <w:r w:rsidR="000F7661">
        <w:rPr>
          <w:i/>
          <w:iCs/>
        </w:rPr>
        <w:t xml:space="preserve"> </w:t>
      </w:r>
      <w:r w:rsidR="000F7661">
        <w:t>(Bloomsbury 2019)</w:t>
      </w:r>
      <w:r>
        <w:t xml:space="preserve">, pp55, 202-205, 209-11 and 215; Furedi, </w:t>
      </w:r>
      <w:r>
        <w:rPr>
          <w:i/>
          <w:iCs/>
        </w:rPr>
        <w:t>On Tolerance</w:t>
      </w:r>
      <w:r>
        <w:t xml:space="preserve"> (Continuum 2011), pp116-117, 172-3 and 196</w:t>
      </w:r>
      <w:r w:rsidR="001140C3">
        <w:t>.</w:t>
      </w:r>
    </w:p>
  </w:footnote>
  <w:footnote w:id="23">
    <w:p w14:paraId="48D4A005" w14:textId="582DD670" w:rsidR="005B1988" w:rsidRDefault="005B198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163A4">
        <w:t>Ibid, p</w:t>
      </w:r>
      <w:r w:rsidR="00FC2FB6">
        <w:t>5.</w:t>
      </w:r>
    </w:p>
  </w:footnote>
  <w:footnote w:id="24">
    <w:p w14:paraId="794805C0" w14:textId="6526EFC9" w:rsidR="005B1988" w:rsidRDefault="005B198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97B05">
        <w:t>E.g.</w:t>
      </w:r>
      <w:r>
        <w:t xml:space="preserve"> Mi</w:t>
      </w:r>
      <w:r w:rsidR="00B96BB6">
        <w:t>l</w:t>
      </w:r>
      <w:r>
        <w:t>ton, pp390, 394</w:t>
      </w:r>
      <w:r w:rsidR="00997B05">
        <w:t xml:space="preserve"> and</w:t>
      </w:r>
      <w:r>
        <w:t xml:space="preserve"> </w:t>
      </w:r>
      <w:r w:rsidR="00997B05">
        <w:t>402</w:t>
      </w:r>
      <w:r>
        <w:t>.</w:t>
      </w:r>
    </w:p>
  </w:footnote>
  <w:footnote w:id="25">
    <w:p w14:paraId="109201A7" w14:textId="0A16A730" w:rsidR="005B1988" w:rsidRPr="007D045B" w:rsidRDefault="005B198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846A9">
        <w:rPr>
          <w:i/>
          <w:iCs/>
        </w:rPr>
        <w:t>Trimmington</w:t>
      </w:r>
      <w:r w:rsidR="00707B91">
        <w:t>, §§</w:t>
      </w:r>
      <w:r w:rsidRPr="00707B91">
        <w:t>265</w:t>
      </w:r>
      <w:r w:rsidR="00707B91">
        <w:t xml:space="preserve">, </w:t>
      </w:r>
      <w:r>
        <w:t>267</w:t>
      </w:r>
      <w:r w:rsidR="005A53E7">
        <w:t>.</w:t>
      </w:r>
    </w:p>
  </w:footnote>
  <w:footnote w:id="26">
    <w:p w14:paraId="1123CBED" w14:textId="252E9AFD" w:rsidR="001721E7" w:rsidRPr="0077101B" w:rsidRDefault="001721E7" w:rsidP="001721E7">
      <w:pPr>
        <w:pStyle w:val="FootnoteText"/>
        <w:rPr>
          <w:b/>
          <w:bCs/>
        </w:rPr>
      </w:pPr>
      <w:r>
        <w:rPr>
          <w:rStyle w:val="FootnoteReference"/>
        </w:rPr>
        <w:footnoteRef/>
      </w:r>
      <w:r>
        <w:t xml:space="preserve"> Report of the Special Rapporteur on the promotion and protection of the right to freedom of opinion and expression A/74/485 (9 October 2019), §1</w:t>
      </w:r>
      <w:r w:rsidR="0081521D">
        <w:t xml:space="preserve">, </w:t>
      </w:r>
      <w:r w:rsidR="0081521D" w:rsidRPr="0083562A">
        <w:t>19-25</w:t>
      </w:r>
      <w:r w:rsidR="0077101B" w:rsidRPr="0083562A">
        <w:rPr>
          <w:b/>
          <w:bCs/>
        </w:rPr>
        <w:t>.</w:t>
      </w:r>
    </w:p>
  </w:footnote>
  <w:footnote w:id="27">
    <w:p w14:paraId="5EB0C2FB" w14:textId="17BAFFE3" w:rsidR="005B1988" w:rsidRPr="007F52F1" w:rsidRDefault="005B1988">
      <w:pPr>
        <w:pStyle w:val="FootnoteText"/>
      </w:pPr>
      <w:r>
        <w:rPr>
          <w:rStyle w:val="FootnoteReference"/>
        </w:rPr>
        <w:footnoteRef/>
      </w:r>
      <w:r>
        <w:t xml:space="preserve"> LC</w:t>
      </w:r>
      <w:r w:rsidR="0070470B">
        <w:t xml:space="preserve"> CP250</w:t>
      </w:r>
      <w:r w:rsidR="0018101B">
        <w:t xml:space="preserve">, </w:t>
      </w:r>
      <w:r w:rsidR="0018101B">
        <w:rPr>
          <w:i/>
          <w:iCs/>
        </w:rPr>
        <w:t>Hate crime laws</w:t>
      </w:r>
      <w:r w:rsidR="0018101B">
        <w:t xml:space="preserve"> (23 September 2020)</w:t>
      </w:r>
      <w:r>
        <w:t xml:space="preserve">, §18.284; </w:t>
      </w:r>
      <w:r>
        <w:rPr>
          <w:i/>
          <w:iCs/>
        </w:rPr>
        <w:t>Miller</w:t>
      </w:r>
      <w:r>
        <w:t xml:space="preserve">. </w:t>
      </w:r>
    </w:p>
  </w:footnote>
  <w:footnote w:id="28">
    <w:p w14:paraId="39D81D66" w14:textId="5E0CCE93" w:rsidR="009B7D31" w:rsidRPr="009B7D31" w:rsidRDefault="009B7D31">
      <w:pPr>
        <w:pStyle w:val="FootnoteText"/>
      </w:pPr>
      <w:r>
        <w:rPr>
          <w:rStyle w:val="FootnoteReference"/>
        </w:rPr>
        <w:footnoteRef/>
      </w:r>
      <w:r>
        <w:t xml:space="preserve"> Compare </w:t>
      </w:r>
      <w:r>
        <w:rPr>
          <w:i/>
          <w:iCs/>
        </w:rPr>
        <w:t>Boyle v MGN</w:t>
      </w:r>
      <w:r w:rsidR="00586433">
        <w:rPr>
          <w:i/>
          <w:iCs/>
        </w:rPr>
        <w:t xml:space="preserve"> </w:t>
      </w:r>
      <w:r>
        <w:t xml:space="preserve">[2012] EWHC 2700 (QB) </w:t>
      </w:r>
      <w:r w:rsidR="00DE395A">
        <w:t xml:space="preserve">§8 </w:t>
      </w:r>
      <w:r>
        <w:t xml:space="preserve">and </w:t>
      </w:r>
      <w:hyperlink r:id="rId7" w:history="1">
        <w:r w:rsidRPr="004078DA">
          <w:rPr>
            <w:rStyle w:val="Hyperlink"/>
          </w:rPr>
          <w:t>https://www.bbc.com/news/entertainment-arts-20033097</w:t>
        </w:r>
      </w:hyperlink>
      <w:r>
        <w:t xml:space="preserve">. </w:t>
      </w:r>
    </w:p>
  </w:footnote>
  <w:footnote w:id="29">
    <w:p w14:paraId="4C434567" w14:textId="24F996BE" w:rsidR="00DF1A55" w:rsidRPr="006D67F8" w:rsidRDefault="00DF1A55" w:rsidP="00DF1A55">
      <w:pPr>
        <w:pStyle w:val="FootnoteText"/>
      </w:pPr>
      <w:r>
        <w:rPr>
          <w:rStyle w:val="FootnoteReference"/>
        </w:rPr>
        <w:footnoteRef/>
      </w:r>
      <w:r>
        <w:t xml:space="preserve"> E</w:t>
      </w:r>
      <w:r w:rsidR="00072C7E">
        <w:t>.g.</w:t>
      </w:r>
      <w:r>
        <w:t xml:space="preserve"> </w:t>
      </w:r>
      <w:r>
        <w:rPr>
          <w:i/>
          <w:iCs/>
        </w:rPr>
        <w:t>R(Ngole)</w:t>
      </w:r>
      <w:r w:rsidR="008E0394">
        <w:rPr>
          <w:i/>
          <w:iCs/>
        </w:rPr>
        <w:t xml:space="preserve"> v University of Sheffield</w:t>
      </w:r>
      <w:r>
        <w:t xml:space="preserve"> [2019] EWCA Civ 1127.</w:t>
      </w:r>
    </w:p>
  </w:footnote>
  <w:footnote w:id="30">
    <w:p w14:paraId="68A753F2" w14:textId="1C2D2447" w:rsidR="00650889" w:rsidRPr="006F3131" w:rsidRDefault="00650889" w:rsidP="0065088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  <w:iCs/>
        </w:rPr>
        <w:t>Ngole</w:t>
      </w:r>
      <w:r w:rsidR="001B5F1D">
        <w:t xml:space="preserve">; </w:t>
      </w:r>
      <w:r>
        <w:rPr>
          <w:i/>
          <w:iCs/>
        </w:rPr>
        <w:t>Miller</w:t>
      </w:r>
      <w:r w:rsidR="002416EF">
        <w:t>, §251</w:t>
      </w:r>
      <w:r>
        <w:t xml:space="preserve">. </w:t>
      </w:r>
    </w:p>
  </w:footnote>
  <w:footnote w:id="31">
    <w:p w14:paraId="0BEA3DF9" w14:textId="12F51A8C" w:rsidR="004B3F79" w:rsidRPr="004C468A" w:rsidRDefault="004B3F79" w:rsidP="004B3F7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  <w:iCs/>
        </w:rPr>
        <w:t>Forstate</w:t>
      </w:r>
      <w:r w:rsidR="00100500">
        <w:rPr>
          <w:i/>
          <w:iCs/>
        </w:rPr>
        <w:t>r</w:t>
      </w:r>
      <w:r>
        <w:rPr>
          <w:i/>
          <w:iCs/>
        </w:rPr>
        <w:t xml:space="preserve"> v CGD </w:t>
      </w:r>
      <w:r w:rsidR="000048B6">
        <w:rPr>
          <w:i/>
          <w:iCs/>
        </w:rPr>
        <w:t>Europe</w:t>
      </w:r>
      <w:r>
        <w:rPr>
          <w:i/>
          <w:iCs/>
        </w:rPr>
        <w:t xml:space="preserve"> and ors, </w:t>
      </w:r>
      <w:r w:rsidR="00100500">
        <w:t>(</w:t>
      </w:r>
      <w:r>
        <w:t>2200909/2019</w:t>
      </w:r>
      <w:r w:rsidR="002E486F">
        <w:t>)</w:t>
      </w:r>
      <w:r w:rsidR="00100500">
        <w:t>, 9 January 2020</w:t>
      </w:r>
      <w:r>
        <w:t>.</w:t>
      </w:r>
    </w:p>
  </w:footnote>
  <w:footnote w:id="32">
    <w:p w14:paraId="575032EC" w14:textId="69BEA758" w:rsidR="00EA40F2" w:rsidRDefault="00EA40F2" w:rsidP="00EA40F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C66DBD">
        <w:t xml:space="preserve">JCHR, </w:t>
      </w:r>
      <w:r w:rsidR="00C66DBD">
        <w:rPr>
          <w:i/>
          <w:iCs/>
        </w:rPr>
        <w:t xml:space="preserve">Freedom of Speech in Universities </w:t>
      </w:r>
      <w:r w:rsidR="00C66DBD">
        <w:t>(21 March 2018)</w:t>
      </w:r>
      <w:r w:rsidR="007F6CA1">
        <w:t>:</w:t>
      </w:r>
      <w:r w:rsidR="00C66DBD">
        <w:t xml:space="preserve"> </w:t>
      </w:r>
      <w:hyperlink r:id="rId8" w:history="1">
        <w:r w:rsidR="00C66DBD" w:rsidRPr="004078DA">
          <w:rPr>
            <w:rStyle w:val="Hyperlink"/>
          </w:rPr>
          <w:t>https://publications.parliament.uk/pa/jt201719/jtselect/jtrights/589/589.pdf</w:t>
        </w:r>
      </w:hyperlink>
      <w:r w:rsidR="00C66DBD">
        <w:t xml:space="preserve">; </w:t>
      </w:r>
      <w:r w:rsidR="00206C19">
        <w:t xml:space="preserve"> </w:t>
      </w:r>
      <w:r w:rsidR="00C66DBD">
        <w:t>Policy Exchange,</w:t>
      </w:r>
      <w:r w:rsidR="008E0394">
        <w:t xml:space="preserve"> </w:t>
      </w:r>
      <w:r w:rsidR="008E0394">
        <w:rPr>
          <w:i/>
          <w:iCs/>
        </w:rPr>
        <w:t>Academic Freedom in the UK</w:t>
      </w:r>
      <w:r w:rsidR="007F6CA1">
        <w:t>:</w:t>
      </w:r>
      <w:r w:rsidR="00C66DBD">
        <w:t xml:space="preserve"> </w:t>
      </w:r>
      <w:hyperlink r:id="rId9" w:history="1">
        <w:r w:rsidR="00C66DBD" w:rsidRPr="004078DA">
          <w:rPr>
            <w:rStyle w:val="Hyperlink"/>
          </w:rPr>
          <w:t>https://policyexchange.org.uk/publication/academic-freedom-in-t</w:t>
        </w:r>
        <w:r w:rsidR="00C66DBD" w:rsidRPr="004078DA">
          <w:rPr>
            <w:rStyle w:val="Hyperlink"/>
          </w:rPr>
          <w:t>h</w:t>
        </w:r>
        <w:r w:rsidR="00C66DBD" w:rsidRPr="004078DA">
          <w:rPr>
            <w:rStyle w:val="Hyperlink"/>
          </w:rPr>
          <w:t>e-uk-2/</w:t>
        </w:r>
      </w:hyperlink>
      <w:r w:rsidR="00C66DBD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2195A" w14:textId="38A22318" w:rsidR="00BE0C0C" w:rsidRPr="00BE0C0C" w:rsidRDefault="00BE0C0C" w:rsidP="00BE0C0C">
    <w:pPr>
      <w:pStyle w:val="Header"/>
      <w:jc w:val="right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56FB0"/>
    <w:multiLevelType w:val="hybridMultilevel"/>
    <w:tmpl w:val="E6F630FA"/>
    <w:lvl w:ilvl="0" w:tplc="5CDA6974">
      <w:start w:val="1"/>
      <w:numFmt w:val="lowerLetter"/>
      <w:pStyle w:val="Heading2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0587A"/>
    <w:multiLevelType w:val="hybridMultilevel"/>
    <w:tmpl w:val="08CA9122"/>
    <w:lvl w:ilvl="0" w:tplc="6CE60BD0">
      <w:start w:val="1"/>
      <w:numFmt w:val="decimal"/>
      <w:pStyle w:val="Numberedparagraph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116D9"/>
    <w:multiLevelType w:val="hybridMultilevel"/>
    <w:tmpl w:val="8F844B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83654"/>
    <w:multiLevelType w:val="hybridMultilevel"/>
    <w:tmpl w:val="D73E14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B09EB"/>
    <w:multiLevelType w:val="hybridMultilevel"/>
    <w:tmpl w:val="88FA88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</w:num>
  <w:num w:numId="6">
    <w:abstractNumId w:val="3"/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activeWritingStyle w:appName="MSWord" w:lang="en-GB" w:vendorID="64" w:dllVersion="6" w:nlCheck="1" w:checkStyle="0"/>
  <w:activeWritingStyle w:appName="MSWord" w:lang="en-CA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CA" w:vendorID="64" w:dllVersion="4096" w:nlCheck="1" w:checkStyle="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D50"/>
    <w:rsid w:val="0000031F"/>
    <w:rsid w:val="00000E6B"/>
    <w:rsid w:val="00001DD3"/>
    <w:rsid w:val="00001E3D"/>
    <w:rsid w:val="000022D9"/>
    <w:rsid w:val="00003EFF"/>
    <w:rsid w:val="00003F7E"/>
    <w:rsid w:val="000048B6"/>
    <w:rsid w:val="00004B5E"/>
    <w:rsid w:val="00005F4C"/>
    <w:rsid w:val="0000684E"/>
    <w:rsid w:val="000072E4"/>
    <w:rsid w:val="000110B4"/>
    <w:rsid w:val="0001130B"/>
    <w:rsid w:val="0001152F"/>
    <w:rsid w:val="00012096"/>
    <w:rsid w:val="00012E48"/>
    <w:rsid w:val="0001397B"/>
    <w:rsid w:val="00014027"/>
    <w:rsid w:val="0001406E"/>
    <w:rsid w:val="00015508"/>
    <w:rsid w:val="000156CC"/>
    <w:rsid w:val="0001606F"/>
    <w:rsid w:val="000201C2"/>
    <w:rsid w:val="0002078C"/>
    <w:rsid w:val="000220F5"/>
    <w:rsid w:val="000223FC"/>
    <w:rsid w:val="000228D8"/>
    <w:rsid w:val="00023785"/>
    <w:rsid w:val="00023B70"/>
    <w:rsid w:val="00024B0D"/>
    <w:rsid w:val="000250CE"/>
    <w:rsid w:val="000259BB"/>
    <w:rsid w:val="00025A05"/>
    <w:rsid w:val="00025C85"/>
    <w:rsid w:val="0002698C"/>
    <w:rsid w:val="00026A57"/>
    <w:rsid w:val="000271FB"/>
    <w:rsid w:val="00027D39"/>
    <w:rsid w:val="00031D3C"/>
    <w:rsid w:val="00032F12"/>
    <w:rsid w:val="00033B1A"/>
    <w:rsid w:val="000350CF"/>
    <w:rsid w:val="00035288"/>
    <w:rsid w:val="00037097"/>
    <w:rsid w:val="00037DC4"/>
    <w:rsid w:val="0004084D"/>
    <w:rsid w:val="000411D9"/>
    <w:rsid w:val="00041920"/>
    <w:rsid w:val="00041ED7"/>
    <w:rsid w:val="0004296F"/>
    <w:rsid w:val="00043CE2"/>
    <w:rsid w:val="00044111"/>
    <w:rsid w:val="000444C4"/>
    <w:rsid w:val="00044585"/>
    <w:rsid w:val="00044745"/>
    <w:rsid w:val="000450BC"/>
    <w:rsid w:val="000463BF"/>
    <w:rsid w:val="00046884"/>
    <w:rsid w:val="00046F3A"/>
    <w:rsid w:val="00047A20"/>
    <w:rsid w:val="00047ECA"/>
    <w:rsid w:val="0005016F"/>
    <w:rsid w:val="00050AC7"/>
    <w:rsid w:val="00051099"/>
    <w:rsid w:val="00052C85"/>
    <w:rsid w:val="00052EBE"/>
    <w:rsid w:val="00053FCC"/>
    <w:rsid w:val="000547B6"/>
    <w:rsid w:val="000551E7"/>
    <w:rsid w:val="00055A89"/>
    <w:rsid w:val="000569FA"/>
    <w:rsid w:val="000573E7"/>
    <w:rsid w:val="00060137"/>
    <w:rsid w:val="00060598"/>
    <w:rsid w:val="000607E9"/>
    <w:rsid w:val="0006157D"/>
    <w:rsid w:val="0006258C"/>
    <w:rsid w:val="00063B8F"/>
    <w:rsid w:val="00063E03"/>
    <w:rsid w:val="000655A7"/>
    <w:rsid w:val="00065781"/>
    <w:rsid w:val="0006769F"/>
    <w:rsid w:val="0006774E"/>
    <w:rsid w:val="000678B3"/>
    <w:rsid w:val="000701AD"/>
    <w:rsid w:val="00071173"/>
    <w:rsid w:val="0007240E"/>
    <w:rsid w:val="00072C7E"/>
    <w:rsid w:val="00072DC9"/>
    <w:rsid w:val="00073914"/>
    <w:rsid w:val="00073E4D"/>
    <w:rsid w:val="000753E1"/>
    <w:rsid w:val="000768F9"/>
    <w:rsid w:val="00077B74"/>
    <w:rsid w:val="00080679"/>
    <w:rsid w:val="00080B1C"/>
    <w:rsid w:val="00082E97"/>
    <w:rsid w:val="00083369"/>
    <w:rsid w:val="00083622"/>
    <w:rsid w:val="00085122"/>
    <w:rsid w:val="00086892"/>
    <w:rsid w:val="00087D0C"/>
    <w:rsid w:val="00090132"/>
    <w:rsid w:val="00090318"/>
    <w:rsid w:val="0009043B"/>
    <w:rsid w:val="000908D8"/>
    <w:rsid w:val="000908F4"/>
    <w:rsid w:val="00090D34"/>
    <w:rsid w:val="0009126E"/>
    <w:rsid w:val="0009156C"/>
    <w:rsid w:val="000915F1"/>
    <w:rsid w:val="00091DD2"/>
    <w:rsid w:val="00092608"/>
    <w:rsid w:val="000931C8"/>
    <w:rsid w:val="000932B1"/>
    <w:rsid w:val="00094682"/>
    <w:rsid w:val="000951C6"/>
    <w:rsid w:val="00095542"/>
    <w:rsid w:val="000961B1"/>
    <w:rsid w:val="0009642E"/>
    <w:rsid w:val="00096A13"/>
    <w:rsid w:val="0009715E"/>
    <w:rsid w:val="00097AD9"/>
    <w:rsid w:val="00097FAF"/>
    <w:rsid w:val="000A07D0"/>
    <w:rsid w:val="000A1614"/>
    <w:rsid w:val="000A1828"/>
    <w:rsid w:val="000A199D"/>
    <w:rsid w:val="000A20C7"/>
    <w:rsid w:val="000A23A9"/>
    <w:rsid w:val="000A26D6"/>
    <w:rsid w:val="000A26FE"/>
    <w:rsid w:val="000A299F"/>
    <w:rsid w:val="000A3B88"/>
    <w:rsid w:val="000A41A7"/>
    <w:rsid w:val="000A47C2"/>
    <w:rsid w:val="000A49D5"/>
    <w:rsid w:val="000A4A23"/>
    <w:rsid w:val="000A59DD"/>
    <w:rsid w:val="000A5CA6"/>
    <w:rsid w:val="000A5DD2"/>
    <w:rsid w:val="000A660A"/>
    <w:rsid w:val="000A6873"/>
    <w:rsid w:val="000A72D1"/>
    <w:rsid w:val="000A741F"/>
    <w:rsid w:val="000A76CB"/>
    <w:rsid w:val="000B135F"/>
    <w:rsid w:val="000B17C5"/>
    <w:rsid w:val="000B18B3"/>
    <w:rsid w:val="000B22C5"/>
    <w:rsid w:val="000B3EA7"/>
    <w:rsid w:val="000B402C"/>
    <w:rsid w:val="000B45AD"/>
    <w:rsid w:val="000B47F9"/>
    <w:rsid w:val="000B50E7"/>
    <w:rsid w:val="000C0185"/>
    <w:rsid w:val="000C0C56"/>
    <w:rsid w:val="000C2BB7"/>
    <w:rsid w:val="000C3103"/>
    <w:rsid w:val="000C32DA"/>
    <w:rsid w:val="000C374D"/>
    <w:rsid w:val="000C40B8"/>
    <w:rsid w:val="000C5005"/>
    <w:rsid w:val="000C6069"/>
    <w:rsid w:val="000C647A"/>
    <w:rsid w:val="000C6E5F"/>
    <w:rsid w:val="000C7231"/>
    <w:rsid w:val="000C7AAF"/>
    <w:rsid w:val="000C7E72"/>
    <w:rsid w:val="000C7FD3"/>
    <w:rsid w:val="000D1E7C"/>
    <w:rsid w:val="000D2893"/>
    <w:rsid w:val="000D28D7"/>
    <w:rsid w:val="000D2A4C"/>
    <w:rsid w:val="000D30D9"/>
    <w:rsid w:val="000D3A12"/>
    <w:rsid w:val="000D4636"/>
    <w:rsid w:val="000D4A49"/>
    <w:rsid w:val="000D4C9C"/>
    <w:rsid w:val="000D52A8"/>
    <w:rsid w:val="000D54BF"/>
    <w:rsid w:val="000D6D51"/>
    <w:rsid w:val="000D7843"/>
    <w:rsid w:val="000E05E8"/>
    <w:rsid w:val="000E1C48"/>
    <w:rsid w:val="000E26D5"/>
    <w:rsid w:val="000E3949"/>
    <w:rsid w:val="000E3BEB"/>
    <w:rsid w:val="000E41ED"/>
    <w:rsid w:val="000E7575"/>
    <w:rsid w:val="000F0AAC"/>
    <w:rsid w:val="000F1E1A"/>
    <w:rsid w:val="000F4724"/>
    <w:rsid w:val="000F524F"/>
    <w:rsid w:val="000F5880"/>
    <w:rsid w:val="000F5D35"/>
    <w:rsid w:val="000F6112"/>
    <w:rsid w:val="000F6A9A"/>
    <w:rsid w:val="000F747F"/>
    <w:rsid w:val="000F7661"/>
    <w:rsid w:val="000F7B81"/>
    <w:rsid w:val="000F7CCF"/>
    <w:rsid w:val="00100500"/>
    <w:rsid w:val="00100D05"/>
    <w:rsid w:val="00100DC7"/>
    <w:rsid w:val="00101C8F"/>
    <w:rsid w:val="00101FBB"/>
    <w:rsid w:val="00102F63"/>
    <w:rsid w:val="00103430"/>
    <w:rsid w:val="00104730"/>
    <w:rsid w:val="00104BBD"/>
    <w:rsid w:val="00105501"/>
    <w:rsid w:val="00105A2A"/>
    <w:rsid w:val="001060A4"/>
    <w:rsid w:val="00106CB9"/>
    <w:rsid w:val="00106CDE"/>
    <w:rsid w:val="0010710A"/>
    <w:rsid w:val="0010788E"/>
    <w:rsid w:val="00110F26"/>
    <w:rsid w:val="001123DE"/>
    <w:rsid w:val="001128FC"/>
    <w:rsid w:val="00112928"/>
    <w:rsid w:val="00113678"/>
    <w:rsid w:val="001140C3"/>
    <w:rsid w:val="00114542"/>
    <w:rsid w:val="001146C7"/>
    <w:rsid w:val="00114FA8"/>
    <w:rsid w:val="00114FDB"/>
    <w:rsid w:val="00115B95"/>
    <w:rsid w:val="00115DBD"/>
    <w:rsid w:val="00116421"/>
    <w:rsid w:val="00117A8F"/>
    <w:rsid w:val="0012124E"/>
    <w:rsid w:val="0012136B"/>
    <w:rsid w:val="00122073"/>
    <w:rsid w:val="00122E71"/>
    <w:rsid w:val="00122EB3"/>
    <w:rsid w:val="00123268"/>
    <w:rsid w:val="00123A90"/>
    <w:rsid w:val="00125005"/>
    <w:rsid w:val="001259A6"/>
    <w:rsid w:val="00127084"/>
    <w:rsid w:val="001270B7"/>
    <w:rsid w:val="001313AD"/>
    <w:rsid w:val="00131684"/>
    <w:rsid w:val="00132D12"/>
    <w:rsid w:val="001331AF"/>
    <w:rsid w:val="001334DB"/>
    <w:rsid w:val="001357A4"/>
    <w:rsid w:val="00135D9F"/>
    <w:rsid w:val="00136884"/>
    <w:rsid w:val="00137304"/>
    <w:rsid w:val="00140017"/>
    <w:rsid w:val="00140848"/>
    <w:rsid w:val="00140C13"/>
    <w:rsid w:val="00140FEF"/>
    <w:rsid w:val="00142232"/>
    <w:rsid w:val="001424C7"/>
    <w:rsid w:val="001432D7"/>
    <w:rsid w:val="001436DB"/>
    <w:rsid w:val="001436E6"/>
    <w:rsid w:val="00144E1F"/>
    <w:rsid w:val="0014622A"/>
    <w:rsid w:val="001472AF"/>
    <w:rsid w:val="00147503"/>
    <w:rsid w:val="00147A57"/>
    <w:rsid w:val="00147B39"/>
    <w:rsid w:val="00150765"/>
    <w:rsid w:val="00151D46"/>
    <w:rsid w:val="001520DA"/>
    <w:rsid w:val="00153453"/>
    <w:rsid w:val="001534B4"/>
    <w:rsid w:val="00153E5E"/>
    <w:rsid w:val="0015452A"/>
    <w:rsid w:val="00154625"/>
    <w:rsid w:val="00156870"/>
    <w:rsid w:val="00156C21"/>
    <w:rsid w:val="001576BD"/>
    <w:rsid w:val="00160758"/>
    <w:rsid w:val="001615C6"/>
    <w:rsid w:val="00161A4A"/>
    <w:rsid w:val="00161B75"/>
    <w:rsid w:val="0016272A"/>
    <w:rsid w:val="00162D9E"/>
    <w:rsid w:val="00163153"/>
    <w:rsid w:val="00164E8C"/>
    <w:rsid w:val="0016607D"/>
    <w:rsid w:val="00166BB5"/>
    <w:rsid w:val="00166C88"/>
    <w:rsid w:val="001702F9"/>
    <w:rsid w:val="00170A76"/>
    <w:rsid w:val="001721E7"/>
    <w:rsid w:val="0017295D"/>
    <w:rsid w:val="00173980"/>
    <w:rsid w:val="00173B61"/>
    <w:rsid w:val="00176061"/>
    <w:rsid w:val="0017637A"/>
    <w:rsid w:val="00176829"/>
    <w:rsid w:val="001769F3"/>
    <w:rsid w:val="00176E25"/>
    <w:rsid w:val="001805BD"/>
    <w:rsid w:val="00180D6C"/>
    <w:rsid w:val="0018101B"/>
    <w:rsid w:val="001822AD"/>
    <w:rsid w:val="0018243D"/>
    <w:rsid w:val="00182AB8"/>
    <w:rsid w:val="0018328B"/>
    <w:rsid w:val="0018404B"/>
    <w:rsid w:val="0018441E"/>
    <w:rsid w:val="00184702"/>
    <w:rsid w:val="00185A22"/>
    <w:rsid w:val="00185B14"/>
    <w:rsid w:val="0018691B"/>
    <w:rsid w:val="00186922"/>
    <w:rsid w:val="0018741B"/>
    <w:rsid w:val="00187A6F"/>
    <w:rsid w:val="00187AC6"/>
    <w:rsid w:val="001902BA"/>
    <w:rsid w:val="00190427"/>
    <w:rsid w:val="001909AC"/>
    <w:rsid w:val="00190A57"/>
    <w:rsid w:val="001915D7"/>
    <w:rsid w:val="00192B61"/>
    <w:rsid w:val="00192D35"/>
    <w:rsid w:val="0019403E"/>
    <w:rsid w:val="00194D12"/>
    <w:rsid w:val="00194E9F"/>
    <w:rsid w:val="00195625"/>
    <w:rsid w:val="00195DCA"/>
    <w:rsid w:val="00196616"/>
    <w:rsid w:val="00196754"/>
    <w:rsid w:val="00196EE5"/>
    <w:rsid w:val="001A0551"/>
    <w:rsid w:val="001A07B7"/>
    <w:rsid w:val="001A154D"/>
    <w:rsid w:val="001A1F10"/>
    <w:rsid w:val="001A1FC6"/>
    <w:rsid w:val="001A2891"/>
    <w:rsid w:val="001A292F"/>
    <w:rsid w:val="001A2D41"/>
    <w:rsid w:val="001A5A36"/>
    <w:rsid w:val="001A64C9"/>
    <w:rsid w:val="001A7F49"/>
    <w:rsid w:val="001B3692"/>
    <w:rsid w:val="001B3D62"/>
    <w:rsid w:val="001B48C5"/>
    <w:rsid w:val="001B4949"/>
    <w:rsid w:val="001B51C0"/>
    <w:rsid w:val="001B5F1D"/>
    <w:rsid w:val="001B5F9D"/>
    <w:rsid w:val="001B6072"/>
    <w:rsid w:val="001B6177"/>
    <w:rsid w:val="001B63E0"/>
    <w:rsid w:val="001B70F1"/>
    <w:rsid w:val="001C011D"/>
    <w:rsid w:val="001C01AA"/>
    <w:rsid w:val="001C2881"/>
    <w:rsid w:val="001C3087"/>
    <w:rsid w:val="001C309F"/>
    <w:rsid w:val="001C4042"/>
    <w:rsid w:val="001C40E4"/>
    <w:rsid w:val="001C50D8"/>
    <w:rsid w:val="001D13B3"/>
    <w:rsid w:val="001D2CD2"/>
    <w:rsid w:val="001D32CD"/>
    <w:rsid w:val="001D348F"/>
    <w:rsid w:val="001D41B2"/>
    <w:rsid w:val="001D6156"/>
    <w:rsid w:val="001D6B11"/>
    <w:rsid w:val="001D70CD"/>
    <w:rsid w:val="001D7278"/>
    <w:rsid w:val="001D79D2"/>
    <w:rsid w:val="001E3B8A"/>
    <w:rsid w:val="001E437D"/>
    <w:rsid w:val="001E4DE9"/>
    <w:rsid w:val="001E62AA"/>
    <w:rsid w:val="001E71E3"/>
    <w:rsid w:val="001F18B7"/>
    <w:rsid w:val="001F1D2A"/>
    <w:rsid w:val="001F27B0"/>
    <w:rsid w:val="001F3FF0"/>
    <w:rsid w:val="001F4176"/>
    <w:rsid w:val="001F4F46"/>
    <w:rsid w:val="001F5260"/>
    <w:rsid w:val="001F5BEB"/>
    <w:rsid w:val="001F692E"/>
    <w:rsid w:val="001F6A9B"/>
    <w:rsid w:val="001F7E40"/>
    <w:rsid w:val="001F7EA0"/>
    <w:rsid w:val="00201A52"/>
    <w:rsid w:val="00201AEF"/>
    <w:rsid w:val="00201AFE"/>
    <w:rsid w:val="002024C9"/>
    <w:rsid w:val="00202998"/>
    <w:rsid w:val="00203015"/>
    <w:rsid w:val="002038D4"/>
    <w:rsid w:val="00203F74"/>
    <w:rsid w:val="00204944"/>
    <w:rsid w:val="0020579D"/>
    <w:rsid w:val="00206001"/>
    <w:rsid w:val="002062D5"/>
    <w:rsid w:val="00206C19"/>
    <w:rsid w:val="00207215"/>
    <w:rsid w:val="0021026E"/>
    <w:rsid w:val="002106BF"/>
    <w:rsid w:val="00210C42"/>
    <w:rsid w:val="00211258"/>
    <w:rsid w:val="00211C51"/>
    <w:rsid w:val="00211FAF"/>
    <w:rsid w:val="00212833"/>
    <w:rsid w:val="00212C1C"/>
    <w:rsid w:val="00216952"/>
    <w:rsid w:val="0021699D"/>
    <w:rsid w:val="002178C5"/>
    <w:rsid w:val="00217F14"/>
    <w:rsid w:val="002216EA"/>
    <w:rsid w:val="002230D6"/>
    <w:rsid w:val="00225BAA"/>
    <w:rsid w:val="00227A7C"/>
    <w:rsid w:val="00230337"/>
    <w:rsid w:val="002309B7"/>
    <w:rsid w:val="00230AB7"/>
    <w:rsid w:val="00230E39"/>
    <w:rsid w:val="002310A1"/>
    <w:rsid w:val="00232F70"/>
    <w:rsid w:val="00233365"/>
    <w:rsid w:val="002335AE"/>
    <w:rsid w:val="00233E69"/>
    <w:rsid w:val="002349BA"/>
    <w:rsid w:val="00235180"/>
    <w:rsid w:val="00235D71"/>
    <w:rsid w:val="00236020"/>
    <w:rsid w:val="0023715B"/>
    <w:rsid w:val="00240B77"/>
    <w:rsid w:val="002413F5"/>
    <w:rsid w:val="002416EF"/>
    <w:rsid w:val="00241717"/>
    <w:rsid w:val="00241DC2"/>
    <w:rsid w:val="002421F1"/>
    <w:rsid w:val="0024242F"/>
    <w:rsid w:val="0024304F"/>
    <w:rsid w:val="00244423"/>
    <w:rsid w:val="00244C40"/>
    <w:rsid w:val="00245403"/>
    <w:rsid w:val="00247650"/>
    <w:rsid w:val="00247CF3"/>
    <w:rsid w:val="00252780"/>
    <w:rsid w:val="00252C34"/>
    <w:rsid w:val="002532BE"/>
    <w:rsid w:val="00253837"/>
    <w:rsid w:val="00254923"/>
    <w:rsid w:val="002552E6"/>
    <w:rsid w:val="00255959"/>
    <w:rsid w:val="002572DE"/>
    <w:rsid w:val="00260D13"/>
    <w:rsid w:val="0026151A"/>
    <w:rsid w:val="002631EC"/>
    <w:rsid w:val="002639B3"/>
    <w:rsid w:val="00264F2E"/>
    <w:rsid w:val="0026553F"/>
    <w:rsid w:val="00265802"/>
    <w:rsid w:val="00265C93"/>
    <w:rsid w:val="00266408"/>
    <w:rsid w:val="0027014F"/>
    <w:rsid w:val="002716F0"/>
    <w:rsid w:val="0027245C"/>
    <w:rsid w:val="0027376D"/>
    <w:rsid w:val="0027479C"/>
    <w:rsid w:val="002764F1"/>
    <w:rsid w:val="00276E65"/>
    <w:rsid w:val="00276FB0"/>
    <w:rsid w:val="00277B57"/>
    <w:rsid w:val="00280413"/>
    <w:rsid w:val="00280ACB"/>
    <w:rsid w:val="00280CFB"/>
    <w:rsid w:val="00281369"/>
    <w:rsid w:val="00281B4C"/>
    <w:rsid w:val="00282B27"/>
    <w:rsid w:val="00283C06"/>
    <w:rsid w:val="002841A0"/>
    <w:rsid w:val="00285239"/>
    <w:rsid w:val="00285C33"/>
    <w:rsid w:val="00287E7B"/>
    <w:rsid w:val="002901F5"/>
    <w:rsid w:val="002904B5"/>
    <w:rsid w:val="002905F5"/>
    <w:rsid w:val="002907CE"/>
    <w:rsid w:val="00291916"/>
    <w:rsid w:val="00292102"/>
    <w:rsid w:val="002923E9"/>
    <w:rsid w:val="00293635"/>
    <w:rsid w:val="00293CD7"/>
    <w:rsid w:val="002942AA"/>
    <w:rsid w:val="00294470"/>
    <w:rsid w:val="002947B4"/>
    <w:rsid w:val="00294ADD"/>
    <w:rsid w:val="00294F9B"/>
    <w:rsid w:val="00295366"/>
    <w:rsid w:val="0029559C"/>
    <w:rsid w:val="00295B7B"/>
    <w:rsid w:val="00295CB8"/>
    <w:rsid w:val="00295E2B"/>
    <w:rsid w:val="0029684A"/>
    <w:rsid w:val="00296BC3"/>
    <w:rsid w:val="00296E5A"/>
    <w:rsid w:val="00297B25"/>
    <w:rsid w:val="002A14DE"/>
    <w:rsid w:val="002A1969"/>
    <w:rsid w:val="002A19BE"/>
    <w:rsid w:val="002A1A08"/>
    <w:rsid w:val="002A2018"/>
    <w:rsid w:val="002A489D"/>
    <w:rsid w:val="002A4949"/>
    <w:rsid w:val="002A4B89"/>
    <w:rsid w:val="002A4E9B"/>
    <w:rsid w:val="002A530E"/>
    <w:rsid w:val="002A5FDE"/>
    <w:rsid w:val="002A60D0"/>
    <w:rsid w:val="002A65CA"/>
    <w:rsid w:val="002A6898"/>
    <w:rsid w:val="002A768C"/>
    <w:rsid w:val="002A7E6F"/>
    <w:rsid w:val="002B1121"/>
    <w:rsid w:val="002B14B1"/>
    <w:rsid w:val="002B2ABD"/>
    <w:rsid w:val="002B2F6F"/>
    <w:rsid w:val="002B3F55"/>
    <w:rsid w:val="002B4C44"/>
    <w:rsid w:val="002B6014"/>
    <w:rsid w:val="002B62AD"/>
    <w:rsid w:val="002B661D"/>
    <w:rsid w:val="002B7272"/>
    <w:rsid w:val="002B7D43"/>
    <w:rsid w:val="002C0076"/>
    <w:rsid w:val="002C0EE6"/>
    <w:rsid w:val="002C11DD"/>
    <w:rsid w:val="002C160D"/>
    <w:rsid w:val="002C29F9"/>
    <w:rsid w:val="002C2B01"/>
    <w:rsid w:val="002C2DC7"/>
    <w:rsid w:val="002C3170"/>
    <w:rsid w:val="002C371E"/>
    <w:rsid w:val="002C46E4"/>
    <w:rsid w:val="002C4FC4"/>
    <w:rsid w:val="002C5A01"/>
    <w:rsid w:val="002C5C6C"/>
    <w:rsid w:val="002C6573"/>
    <w:rsid w:val="002C6A82"/>
    <w:rsid w:val="002C7006"/>
    <w:rsid w:val="002D0899"/>
    <w:rsid w:val="002D0C30"/>
    <w:rsid w:val="002D141B"/>
    <w:rsid w:val="002D18C5"/>
    <w:rsid w:val="002D2086"/>
    <w:rsid w:val="002D268A"/>
    <w:rsid w:val="002D2858"/>
    <w:rsid w:val="002D32CE"/>
    <w:rsid w:val="002D35DF"/>
    <w:rsid w:val="002D4C8F"/>
    <w:rsid w:val="002D5A6B"/>
    <w:rsid w:val="002D615A"/>
    <w:rsid w:val="002D6D6E"/>
    <w:rsid w:val="002E0005"/>
    <w:rsid w:val="002E00FD"/>
    <w:rsid w:val="002E065B"/>
    <w:rsid w:val="002E0FF7"/>
    <w:rsid w:val="002E1591"/>
    <w:rsid w:val="002E1ACF"/>
    <w:rsid w:val="002E1E64"/>
    <w:rsid w:val="002E297B"/>
    <w:rsid w:val="002E3D1F"/>
    <w:rsid w:val="002E3FEA"/>
    <w:rsid w:val="002E486F"/>
    <w:rsid w:val="002E4CD1"/>
    <w:rsid w:val="002E4E39"/>
    <w:rsid w:val="002E4F34"/>
    <w:rsid w:val="002E5858"/>
    <w:rsid w:val="002E5A4A"/>
    <w:rsid w:val="002E5D65"/>
    <w:rsid w:val="002E5D89"/>
    <w:rsid w:val="002E6107"/>
    <w:rsid w:val="002E6816"/>
    <w:rsid w:val="002E699D"/>
    <w:rsid w:val="002E6BC8"/>
    <w:rsid w:val="002E7A71"/>
    <w:rsid w:val="002F0E14"/>
    <w:rsid w:val="002F1B02"/>
    <w:rsid w:val="002F20BE"/>
    <w:rsid w:val="002F2CC7"/>
    <w:rsid w:val="002F389D"/>
    <w:rsid w:val="002F4284"/>
    <w:rsid w:val="002F4864"/>
    <w:rsid w:val="002F4A06"/>
    <w:rsid w:val="002F4B15"/>
    <w:rsid w:val="002F634A"/>
    <w:rsid w:val="002F6E96"/>
    <w:rsid w:val="002F7DE6"/>
    <w:rsid w:val="003018A7"/>
    <w:rsid w:val="00301D72"/>
    <w:rsid w:val="00302A5E"/>
    <w:rsid w:val="00302E07"/>
    <w:rsid w:val="003034E2"/>
    <w:rsid w:val="00304080"/>
    <w:rsid w:val="003041AA"/>
    <w:rsid w:val="00305851"/>
    <w:rsid w:val="003060F0"/>
    <w:rsid w:val="00306199"/>
    <w:rsid w:val="003062DD"/>
    <w:rsid w:val="00306DBB"/>
    <w:rsid w:val="00311205"/>
    <w:rsid w:val="003113E2"/>
    <w:rsid w:val="0031247F"/>
    <w:rsid w:val="00313A56"/>
    <w:rsid w:val="00313B4E"/>
    <w:rsid w:val="00314661"/>
    <w:rsid w:val="003146EF"/>
    <w:rsid w:val="003149D3"/>
    <w:rsid w:val="00315289"/>
    <w:rsid w:val="00315536"/>
    <w:rsid w:val="003167F6"/>
    <w:rsid w:val="003170DB"/>
    <w:rsid w:val="00320D09"/>
    <w:rsid w:val="00320EB8"/>
    <w:rsid w:val="003224F2"/>
    <w:rsid w:val="003225E8"/>
    <w:rsid w:val="00322C1A"/>
    <w:rsid w:val="0032360A"/>
    <w:rsid w:val="0032370E"/>
    <w:rsid w:val="00323719"/>
    <w:rsid w:val="003237F1"/>
    <w:rsid w:val="003244BB"/>
    <w:rsid w:val="00324800"/>
    <w:rsid w:val="00324D4A"/>
    <w:rsid w:val="00325FAB"/>
    <w:rsid w:val="00326ACE"/>
    <w:rsid w:val="00327606"/>
    <w:rsid w:val="00327C85"/>
    <w:rsid w:val="00330793"/>
    <w:rsid w:val="00330C88"/>
    <w:rsid w:val="00332057"/>
    <w:rsid w:val="00333139"/>
    <w:rsid w:val="00333D2F"/>
    <w:rsid w:val="00333F9A"/>
    <w:rsid w:val="00334064"/>
    <w:rsid w:val="00334E7B"/>
    <w:rsid w:val="00336C8B"/>
    <w:rsid w:val="00337482"/>
    <w:rsid w:val="00337A17"/>
    <w:rsid w:val="00337C69"/>
    <w:rsid w:val="00340168"/>
    <w:rsid w:val="00340316"/>
    <w:rsid w:val="00340BF8"/>
    <w:rsid w:val="003419D2"/>
    <w:rsid w:val="00341CB5"/>
    <w:rsid w:val="00341E61"/>
    <w:rsid w:val="00342956"/>
    <w:rsid w:val="00342D2B"/>
    <w:rsid w:val="00343C90"/>
    <w:rsid w:val="003440DD"/>
    <w:rsid w:val="00344285"/>
    <w:rsid w:val="0034428A"/>
    <w:rsid w:val="00345B63"/>
    <w:rsid w:val="00347FD6"/>
    <w:rsid w:val="00347FEB"/>
    <w:rsid w:val="0035051D"/>
    <w:rsid w:val="00350A3F"/>
    <w:rsid w:val="00350BB8"/>
    <w:rsid w:val="003512F8"/>
    <w:rsid w:val="003516A9"/>
    <w:rsid w:val="0035263B"/>
    <w:rsid w:val="00353441"/>
    <w:rsid w:val="00353D9D"/>
    <w:rsid w:val="00354979"/>
    <w:rsid w:val="00354CBC"/>
    <w:rsid w:val="0035538E"/>
    <w:rsid w:val="0035617D"/>
    <w:rsid w:val="0035617E"/>
    <w:rsid w:val="003563E6"/>
    <w:rsid w:val="003564E1"/>
    <w:rsid w:val="00356F89"/>
    <w:rsid w:val="003571D4"/>
    <w:rsid w:val="00360301"/>
    <w:rsid w:val="00361118"/>
    <w:rsid w:val="003616A1"/>
    <w:rsid w:val="003626CB"/>
    <w:rsid w:val="0036290F"/>
    <w:rsid w:val="003643EE"/>
    <w:rsid w:val="00364512"/>
    <w:rsid w:val="003650B5"/>
    <w:rsid w:val="00365379"/>
    <w:rsid w:val="00365AFF"/>
    <w:rsid w:val="00367129"/>
    <w:rsid w:val="003677B2"/>
    <w:rsid w:val="00367FDA"/>
    <w:rsid w:val="003705F3"/>
    <w:rsid w:val="00370B77"/>
    <w:rsid w:val="00375126"/>
    <w:rsid w:val="00375939"/>
    <w:rsid w:val="003761B1"/>
    <w:rsid w:val="003769F0"/>
    <w:rsid w:val="00376E71"/>
    <w:rsid w:val="00377259"/>
    <w:rsid w:val="0037757E"/>
    <w:rsid w:val="00377E6E"/>
    <w:rsid w:val="0038056B"/>
    <w:rsid w:val="00382231"/>
    <w:rsid w:val="003826FF"/>
    <w:rsid w:val="00383CAF"/>
    <w:rsid w:val="003842B4"/>
    <w:rsid w:val="0038436B"/>
    <w:rsid w:val="00385CAE"/>
    <w:rsid w:val="00390DE0"/>
    <w:rsid w:val="00392A48"/>
    <w:rsid w:val="00393928"/>
    <w:rsid w:val="003945DD"/>
    <w:rsid w:val="00395C1A"/>
    <w:rsid w:val="00396BD6"/>
    <w:rsid w:val="003975BB"/>
    <w:rsid w:val="00397C57"/>
    <w:rsid w:val="00397E6D"/>
    <w:rsid w:val="003A0896"/>
    <w:rsid w:val="003A23D9"/>
    <w:rsid w:val="003A24CD"/>
    <w:rsid w:val="003A2FDF"/>
    <w:rsid w:val="003A3441"/>
    <w:rsid w:val="003A361C"/>
    <w:rsid w:val="003A37E7"/>
    <w:rsid w:val="003A434F"/>
    <w:rsid w:val="003A4841"/>
    <w:rsid w:val="003A48FE"/>
    <w:rsid w:val="003A705D"/>
    <w:rsid w:val="003B0F0B"/>
    <w:rsid w:val="003B38DB"/>
    <w:rsid w:val="003B414B"/>
    <w:rsid w:val="003B4C03"/>
    <w:rsid w:val="003C147B"/>
    <w:rsid w:val="003C2BE4"/>
    <w:rsid w:val="003C3418"/>
    <w:rsid w:val="003C3835"/>
    <w:rsid w:val="003C3993"/>
    <w:rsid w:val="003C4A8C"/>
    <w:rsid w:val="003C5E80"/>
    <w:rsid w:val="003C69E6"/>
    <w:rsid w:val="003C717B"/>
    <w:rsid w:val="003C7CF1"/>
    <w:rsid w:val="003D029C"/>
    <w:rsid w:val="003D17DF"/>
    <w:rsid w:val="003D1BE1"/>
    <w:rsid w:val="003D2F69"/>
    <w:rsid w:val="003D3C4C"/>
    <w:rsid w:val="003D3F5C"/>
    <w:rsid w:val="003D41B5"/>
    <w:rsid w:val="003D4336"/>
    <w:rsid w:val="003D466D"/>
    <w:rsid w:val="003D60C8"/>
    <w:rsid w:val="003D6865"/>
    <w:rsid w:val="003D708C"/>
    <w:rsid w:val="003E0D2E"/>
    <w:rsid w:val="003E0F86"/>
    <w:rsid w:val="003E1249"/>
    <w:rsid w:val="003E3488"/>
    <w:rsid w:val="003E360D"/>
    <w:rsid w:val="003E3D39"/>
    <w:rsid w:val="003E438D"/>
    <w:rsid w:val="003E4735"/>
    <w:rsid w:val="003E4BB7"/>
    <w:rsid w:val="003E5412"/>
    <w:rsid w:val="003E5DFA"/>
    <w:rsid w:val="003E673A"/>
    <w:rsid w:val="003E6F2A"/>
    <w:rsid w:val="003E7992"/>
    <w:rsid w:val="003E7EEE"/>
    <w:rsid w:val="003F06ED"/>
    <w:rsid w:val="003F08A3"/>
    <w:rsid w:val="003F10B4"/>
    <w:rsid w:val="003F12D8"/>
    <w:rsid w:val="003F14B4"/>
    <w:rsid w:val="003F21C9"/>
    <w:rsid w:val="003F2E49"/>
    <w:rsid w:val="003F3443"/>
    <w:rsid w:val="003F4873"/>
    <w:rsid w:val="003F5BBF"/>
    <w:rsid w:val="003F606C"/>
    <w:rsid w:val="003F61C7"/>
    <w:rsid w:val="003F7791"/>
    <w:rsid w:val="003F7865"/>
    <w:rsid w:val="003F7D21"/>
    <w:rsid w:val="003F7D86"/>
    <w:rsid w:val="003F7EA4"/>
    <w:rsid w:val="00400B93"/>
    <w:rsid w:val="00400E70"/>
    <w:rsid w:val="00401539"/>
    <w:rsid w:val="004022C8"/>
    <w:rsid w:val="00403E5F"/>
    <w:rsid w:val="00404E59"/>
    <w:rsid w:val="00404F56"/>
    <w:rsid w:val="00405436"/>
    <w:rsid w:val="004058F1"/>
    <w:rsid w:val="00405ADD"/>
    <w:rsid w:val="00406F25"/>
    <w:rsid w:val="00406F96"/>
    <w:rsid w:val="004077A5"/>
    <w:rsid w:val="00410DFA"/>
    <w:rsid w:val="004111D7"/>
    <w:rsid w:val="00411BB0"/>
    <w:rsid w:val="00413405"/>
    <w:rsid w:val="00416874"/>
    <w:rsid w:val="004172EF"/>
    <w:rsid w:val="00417C0A"/>
    <w:rsid w:val="00422B61"/>
    <w:rsid w:val="00422F1E"/>
    <w:rsid w:val="00423325"/>
    <w:rsid w:val="0042492A"/>
    <w:rsid w:val="00426340"/>
    <w:rsid w:val="00427B10"/>
    <w:rsid w:val="00430C7E"/>
    <w:rsid w:val="00431078"/>
    <w:rsid w:val="004316C9"/>
    <w:rsid w:val="00431834"/>
    <w:rsid w:val="00432020"/>
    <w:rsid w:val="004322AE"/>
    <w:rsid w:val="00433A0D"/>
    <w:rsid w:val="00433C87"/>
    <w:rsid w:val="00433D4A"/>
    <w:rsid w:val="00434F7D"/>
    <w:rsid w:val="0043502F"/>
    <w:rsid w:val="00435605"/>
    <w:rsid w:val="00436474"/>
    <w:rsid w:val="00436863"/>
    <w:rsid w:val="00440764"/>
    <w:rsid w:val="00440789"/>
    <w:rsid w:val="00441CB2"/>
    <w:rsid w:val="004423A5"/>
    <w:rsid w:val="00442498"/>
    <w:rsid w:val="00443017"/>
    <w:rsid w:val="0044308B"/>
    <w:rsid w:val="00443C6A"/>
    <w:rsid w:val="004442D4"/>
    <w:rsid w:val="00446BB0"/>
    <w:rsid w:val="00447E5E"/>
    <w:rsid w:val="004510A0"/>
    <w:rsid w:val="00451409"/>
    <w:rsid w:val="00452BCB"/>
    <w:rsid w:val="00453FF7"/>
    <w:rsid w:val="00454F34"/>
    <w:rsid w:val="00455232"/>
    <w:rsid w:val="00456CF1"/>
    <w:rsid w:val="00456DB1"/>
    <w:rsid w:val="00456FC1"/>
    <w:rsid w:val="0045742D"/>
    <w:rsid w:val="00457865"/>
    <w:rsid w:val="00457D47"/>
    <w:rsid w:val="00457F26"/>
    <w:rsid w:val="00457F95"/>
    <w:rsid w:val="00460F32"/>
    <w:rsid w:val="004610B8"/>
    <w:rsid w:val="00461124"/>
    <w:rsid w:val="00461595"/>
    <w:rsid w:val="004639DA"/>
    <w:rsid w:val="00463B8C"/>
    <w:rsid w:val="0046474E"/>
    <w:rsid w:val="00465FCE"/>
    <w:rsid w:val="004662CA"/>
    <w:rsid w:val="0046690E"/>
    <w:rsid w:val="0046752F"/>
    <w:rsid w:val="00467659"/>
    <w:rsid w:val="004701E1"/>
    <w:rsid w:val="00470DA1"/>
    <w:rsid w:val="00470FA8"/>
    <w:rsid w:val="0047109C"/>
    <w:rsid w:val="00472821"/>
    <w:rsid w:val="00472C87"/>
    <w:rsid w:val="00472FF9"/>
    <w:rsid w:val="004742FA"/>
    <w:rsid w:val="00474618"/>
    <w:rsid w:val="00474F19"/>
    <w:rsid w:val="0047586B"/>
    <w:rsid w:val="0047647C"/>
    <w:rsid w:val="00476B44"/>
    <w:rsid w:val="00477411"/>
    <w:rsid w:val="004805BD"/>
    <w:rsid w:val="004815FB"/>
    <w:rsid w:val="00482A71"/>
    <w:rsid w:val="00483941"/>
    <w:rsid w:val="00483F39"/>
    <w:rsid w:val="004840AC"/>
    <w:rsid w:val="00485155"/>
    <w:rsid w:val="004851A9"/>
    <w:rsid w:val="00485502"/>
    <w:rsid w:val="0048642C"/>
    <w:rsid w:val="00487166"/>
    <w:rsid w:val="0048794E"/>
    <w:rsid w:val="004909B7"/>
    <w:rsid w:val="0049183A"/>
    <w:rsid w:val="00491BFC"/>
    <w:rsid w:val="004942E8"/>
    <w:rsid w:val="004947FB"/>
    <w:rsid w:val="00494C3A"/>
    <w:rsid w:val="004951B1"/>
    <w:rsid w:val="00495A22"/>
    <w:rsid w:val="004969EA"/>
    <w:rsid w:val="00497A4C"/>
    <w:rsid w:val="004A1502"/>
    <w:rsid w:val="004A2475"/>
    <w:rsid w:val="004A2999"/>
    <w:rsid w:val="004A3289"/>
    <w:rsid w:val="004A40E0"/>
    <w:rsid w:val="004A4BEA"/>
    <w:rsid w:val="004A4E44"/>
    <w:rsid w:val="004A54E4"/>
    <w:rsid w:val="004A59E5"/>
    <w:rsid w:val="004A5BB0"/>
    <w:rsid w:val="004B024F"/>
    <w:rsid w:val="004B059F"/>
    <w:rsid w:val="004B1448"/>
    <w:rsid w:val="004B2182"/>
    <w:rsid w:val="004B334B"/>
    <w:rsid w:val="004B354F"/>
    <w:rsid w:val="004B3F79"/>
    <w:rsid w:val="004B55AE"/>
    <w:rsid w:val="004B6178"/>
    <w:rsid w:val="004B6364"/>
    <w:rsid w:val="004B7400"/>
    <w:rsid w:val="004C083C"/>
    <w:rsid w:val="004C0FBC"/>
    <w:rsid w:val="004C11ED"/>
    <w:rsid w:val="004C132F"/>
    <w:rsid w:val="004C24C6"/>
    <w:rsid w:val="004C4006"/>
    <w:rsid w:val="004C468A"/>
    <w:rsid w:val="004C571D"/>
    <w:rsid w:val="004C584F"/>
    <w:rsid w:val="004C5C22"/>
    <w:rsid w:val="004C6780"/>
    <w:rsid w:val="004C695D"/>
    <w:rsid w:val="004C6AE9"/>
    <w:rsid w:val="004C7E58"/>
    <w:rsid w:val="004D08A6"/>
    <w:rsid w:val="004D090B"/>
    <w:rsid w:val="004D1DA2"/>
    <w:rsid w:val="004D241A"/>
    <w:rsid w:val="004D2574"/>
    <w:rsid w:val="004D29C3"/>
    <w:rsid w:val="004D37B4"/>
    <w:rsid w:val="004D3FBF"/>
    <w:rsid w:val="004D4998"/>
    <w:rsid w:val="004D6115"/>
    <w:rsid w:val="004D6F16"/>
    <w:rsid w:val="004E1451"/>
    <w:rsid w:val="004E15A9"/>
    <w:rsid w:val="004E1DD8"/>
    <w:rsid w:val="004E46AB"/>
    <w:rsid w:val="004E5450"/>
    <w:rsid w:val="004E547F"/>
    <w:rsid w:val="004E5F79"/>
    <w:rsid w:val="004E6F66"/>
    <w:rsid w:val="004E6FA3"/>
    <w:rsid w:val="004E778C"/>
    <w:rsid w:val="004F0039"/>
    <w:rsid w:val="004F07B2"/>
    <w:rsid w:val="004F2E08"/>
    <w:rsid w:val="004F3409"/>
    <w:rsid w:val="004F3D98"/>
    <w:rsid w:val="004F4304"/>
    <w:rsid w:val="004F5E0E"/>
    <w:rsid w:val="004F5F6A"/>
    <w:rsid w:val="004F68C8"/>
    <w:rsid w:val="004F69D1"/>
    <w:rsid w:val="004F6A33"/>
    <w:rsid w:val="004F6D0F"/>
    <w:rsid w:val="004F7A97"/>
    <w:rsid w:val="004F7DCE"/>
    <w:rsid w:val="005003D7"/>
    <w:rsid w:val="0050311D"/>
    <w:rsid w:val="00504E17"/>
    <w:rsid w:val="00504E70"/>
    <w:rsid w:val="005070B7"/>
    <w:rsid w:val="0050731F"/>
    <w:rsid w:val="00507499"/>
    <w:rsid w:val="00507A16"/>
    <w:rsid w:val="00510281"/>
    <w:rsid w:val="005113A8"/>
    <w:rsid w:val="0051259A"/>
    <w:rsid w:val="00512BA5"/>
    <w:rsid w:val="00514677"/>
    <w:rsid w:val="0051484A"/>
    <w:rsid w:val="00516666"/>
    <w:rsid w:val="0051723C"/>
    <w:rsid w:val="00517E3F"/>
    <w:rsid w:val="0052063A"/>
    <w:rsid w:val="00520C09"/>
    <w:rsid w:val="00521BCF"/>
    <w:rsid w:val="00521C4D"/>
    <w:rsid w:val="00521E6A"/>
    <w:rsid w:val="0052230A"/>
    <w:rsid w:val="00523171"/>
    <w:rsid w:val="00523282"/>
    <w:rsid w:val="005237DB"/>
    <w:rsid w:val="00523A83"/>
    <w:rsid w:val="00524122"/>
    <w:rsid w:val="00524DBE"/>
    <w:rsid w:val="00525AF1"/>
    <w:rsid w:val="0052683C"/>
    <w:rsid w:val="005268B5"/>
    <w:rsid w:val="005268D5"/>
    <w:rsid w:val="005274B3"/>
    <w:rsid w:val="00527B07"/>
    <w:rsid w:val="00531044"/>
    <w:rsid w:val="00531AB4"/>
    <w:rsid w:val="00531F0E"/>
    <w:rsid w:val="0053210A"/>
    <w:rsid w:val="0053210E"/>
    <w:rsid w:val="0053507E"/>
    <w:rsid w:val="00540725"/>
    <w:rsid w:val="00540A96"/>
    <w:rsid w:val="005416E6"/>
    <w:rsid w:val="00541A36"/>
    <w:rsid w:val="00541C34"/>
    <w:rsid w:val="00542011"/>
    <w:rsid w:val="00542776"/>
    <w:rsid w:val="005449F1"/>
    <w:rsid w:val="005456C9"/>
    <w:rsid w:val="00545EAF"/>
    <w:rsid w:val="0054620A"/>
    <w:rsid w:val="00546F4C"/>
    <w:rsid w:val="00547554"/>
    <w:rsid w:val="005513AB"/>
    <w:rsid w:val="005516AD"/>
    <w:rsid w:val="00551D33"/>
    <w:rsid w:val="0055235F"/>
    <w:rsid w:val="00552E62"/>
    <w:rsid w:val="00552ED2"/>
    <w:rsid w:val="00552F18"/>
    <w:rsid w:val="005546A4"/>
    <w:rsid w:val="005561FD"/>
    <w:rsid w:val="005569EE"/>
    <w:rsid w:val="00556EB1"/>
    <w:rsid w:val="005579B3"/>
    <w:rsid w:val="00560242"/>
    <w:rsid w:val="00560388"/>
    <w:rsid w:val="00560712"/>
    <w:rsid w:val="005612A6"/>
    <w:rsid w:val="005613E2"/>
    <w:rsid w:val="00561AF7"/>
    <w:rsid w:val="005627C6"/>
    <w:rsid w:val="00562AA3"/>
    <w:rsid w:val="005631F5"/>
    <w:rsid w:val="00563289"/>
    <w:rsid w:val="00563A0C"/>
    <w:rsid w:val="00564A70"/>
    <w:rsid w:val="00565326"/>
    <w:rsid w:val="0056664D"/>
    <w:rsid w:val="00567251"/>
    <w:rsid w:val="005708AF"/>
    <w:rsid w:val="00574E2B"/>
    <w:rsid w:val="00575712"/>
    <w:rsid w:val="005804B4"/>
    <w:rsid w:val="00580632"/>
    <w:rsid w:val="00580C4A"/>
    <w:rsid w:val="00581398"/>
    <w:rsid w:val="0058148D"/>
    <w:rsid w:val="005815E1"/>
    <w:rsid w:val="005846A9"/>
    <w:rsid w:val="005846F7"/>
    <w:rsid w:val="00585070"/>
    <w:rsid w:val="005852A4"/>
    <w:rsid w:val="0058586F"/>
    <w:rsid w:val="00585B3C"/>
    <w:rsid w:val="00586433"/>
    <w:rsid w:val="00587881"/>
    <w:rsid w:val="00591346"/>
    <w:rsid w:val="005918C8"/>
    <w:rsid w:val="005921B7"/>
    <w:rsid w:val="005923C1"/>
    <w:rsid w:val="00593AA4"/>
    <w:rsid w:val="00594147"/>
    <w:rsid w:val="005943E0"/>
    <w:rsid w:val="005944A4"/>
    <w:rsid w:val="00594C2A"/>
    <w:rsid w:val="00594C3F"/>
    <w:rsid w:val="00595081"/>
    <w:rsid w:val="005951C4"/>
    <w:rsid w:val="0059556C"/>
    <w:rsid w:val="00595A7C"/>
    <w:rsid w:val="0059762E"/>
    <w:rsid w:val="005A04B1"/>
    <w:rsid w:val="005A0698"/>
    <w:rsid w:val="005A0775"/>
    <w:rsid w:val="005A1AB4"/>
    <w:rsid w:val="005A1C33"/>
    <w:rsid w:val="005A2350"/>
    <w:rsid w:val="005A2E52"/>
    <w:rsid w:val="005A495A"/>
    <w:rsid w:val="005A4DB8"/>
    <w:rsid w:val="005A4EFB"/>
    <w:rsid w:val="005A5249"/>
    <w:rsid w:val="005A53E7"/>
    <w:rsid w:val="005A5862"/>
    <w:rsid w:val="005A635B"/>
    <w:rsid w:val="005A6B1E"/>
    <w:rsid w:val="005A6B67"/>
    <w:rsid w:val="005A6C93"/>
    <w:rsid w:val="005A774A"/>
    <w:rsid w:val="005A79C2"/>
    <w:rsid w:val="005B04EB"/>
    <w:rsid w:val="005B12BF"/>
    <w:rsid w:val="005B14B2"/>
    <w:rsid w:val="005B1988"/>
    <w:rsid w:val="005B3D4B"/>
    <w:rsid w:val="005B4421"/>
    <w:rsid w:val="005B538A"/>
    <w:rsid w:val="005B5F25"/>
    <w:rsid w:val="005B640D"/>
    <w:rsid w:val="005B6894"/>
    <w:rsid w:val="005B6EA9"/>
    <w:rsid w:val="005B7268"/>
    <w:rsid w:val="005B74CA"/>
    <w:rsid w:val="005B7BE6"/>
    <w:rsid w:val="005B7D5C"/>
    <w:rsid w:val="005C05B7"/>
    <w:rsid w:val="005C076A"/>
    <w:rsid w:val="005C13ED"/>
    <w:rsid w:val="005C18BC"/>
    <w:rsid w:val="005C1FFF"/>
    <w:rsid w:val="005C2109"/>
    <w:rsid w:val="005C26DE"/>
    <w:rsid w:val="005C2914"/>
    <w:rsid w:val="005C43C4"/>
    <w:rsid w:val="005C5295"/>
    <w:rsid w:val="005C6444"/>
    <w:rsid w:val="005C6C34"/>
    <w:rsid w:val="005C77EA"/>
    <w:rsid w:val="005C7CF9"/>
    <w:rsid w:val="005D08DD"/>
    <w:rsid w:val="005D151E"/>
    <w:rsid w:val="005D1C25"/>
    <w:rsid w:val="005D23C5"/>
    <w:rsid w:val="005D289F"/>
    <w:rsid w:val="005D2FB5"/>
    <w:rsid w:val="005D33A7"/>
    <w:rsid w:val="005D5DEC"/>
    <w:rsid w:val="005D6495"/>
    <w:rsid w:val="005D6A36"/>
    <w:rsid w:val="005D6D3A"/>
    <w:rsid w:val="005D6F1D"/>
    <w:rsid w:val="005D72C0"/>
    <w:rsid w:val="005E037F"/>
    <w:rsid w:val="005E105F"/>
    <w:rsid w:val="005E116E"/>
    <w:rsid w:val="005E124C"/>
    <w:rsid w:val="005E158F"/>
    <w:rsid w:val="005E37D9"/>
    <w:rsid w:val="005E38FD"/>
    <w:rsid w:val="005E42B5"/>
    <w:rsid w:val="005E4A7D"/>
    <w:rsid w:val="005E5843"/>
    <w:rsid w:val="005E608B"/>
    <w:rsid w:val="005E7A2B"/>
    <w:rsid w:val="005F0AA8"/>
    <w:rsid w:val="005F1282"/>
    <w:rsid w:val="005F1BBA"/>
    <w:rsid w:val="005F1E3F"/>
    <w:rsid w:val="005F2EC4"/>
    <w:rsid w:val="005F301E"/>
    <w:rsid w:val="005F3958"/>
    <w:rsid w:val="005F3B2E"/>
    <w:rsid w:val="005F3BDE"/>
    <w:rsid w:val="005F4DFE"/>
    <w:rsid w:val="005F4E27"/>
    <w:rsid w:val="005F68A0"/>
    <w:rsid w:val="00601130"/>
    <w:rsid w:val="00601426"/>
    <w:rsid w:val="00601981"/>
    <w:rsid w:val="00602010"/>
    <w:rsid w:val="0060353C"/>
    <w:rsid w:val="0060366D"/>
    <w:rsid w:val="0060447A"/>
    <w:rsid w:val="00604E81"/>
    <w:rsid w:val="00605744"/>
    <w:rsid w:val="00605DBF"/>
    <w:rsid w:val="006061DA"/>
    <w:rsid w:val="006076A9"/>
    <w:rsid w:val="00610350"/>
    <w:rsid w:val="00611626"/>
    <w:rsid w:val="0061380F"/>
    <w:rsid w:val="00613A43"/>
    <w:rsid w:val="00613E0E"/>
    <w:rsid w:val="006152FF"/>
    <w:rsid w:val="006159D3"/>
    <w:rsid w:val="00616256"/>
    <w:rsid w:val="0061637A"/>
    <w:rsid w:val="00617715"/>
    <w:rsid w:val="00620610"/>
    <w:rsid w:val="00620CF5"/>
    <w:rsid w:val="00622B44"/>
    <w:rsid w:val="006232CB"/>
    <w:rsid w:val="006246E1"/>
    <w:rsid w:val="00624B9D"/>
    <w:rsid w:val="00625736"/>
    <w:rsid w:val="00626FCB"/>
    <w:rsid w:val="00627318"/>
    <w:rsid w:val="0062769D"/>
    <w:rsid w:val="00627962"/>
    <w:rsid w:val="00627A1A"/>
    <w:rsid w:val="00627ADB"/>
    <w:rsid w:val="00627C05"/>
    <w:rsid w:val="006306C7"/>
    <w:rsid w:val="00631579"/>
    <w:rsid w:val="00631D18"/>
    <w:rsid w:val="00632042"/>
    <w:rsid w:val="0063280A"/>
    <w:rsid w:val="00632EF9"/>
    <w:rsid w:val="0063339C"/>
    <w:rsid w:val="00634595"/>
    <w:rsid w:val="006346C3"/>
    <w:rsid w:val="00634707"/>
    <w:rsid w:val="006353C9"/>
    <w:rsid w:val="0063571E"/>
    <w:rsid w:val="00635EA0"/>
    <w:rsid w:val="00635EF3"/>
    <w:rsid w:val="00636A35"/>
    <w:rsid w:val="00636E92"/>
    <w:rsid w:val="00637EA6"/>
    <w:rsid w:val="00637F36"/>
    <w:rsid w:val="00640946"/>
    <w:rsid w:val="00640F5E"/>
    <w:rsid w:val="00640F5F"/>
    <w:rsid w:val="00640FE4"/>
    <w:rsid w:val="0064181A"/>
    <w:rsid w:val="0064287F"/>
    <w:rsid w:val="00642AF6"/>
    <w:rsid w:val="00642B73"/>
    <w:rsid w:val="006432A0"/>
    <w:rsid w:val="0064425B"/>
    <w:rsid w:val="006449AB"/>
    <w:rsid w:val="00644C3C"/>
    <w:rsid w:val="00647168"/>
    <w:rsid w:val="00647BA9"/>
    <w:rsid w:val="00647DE3"/>
    <w:rsid w:val="00650889"/>
    <w:rsid w:val="00650F03"/>
    <w:rsid w:val="0065326F"/>
    <w:rsid w:val="00653C48"/>
    <w:rsid w:val="006557A5"/>
    <w:rsid w:val="0065624C"/>
    <w:rsid w:val="00656DB1"/>
    <w:rsid w:val="00657EF8"/>
    <w:rsid w:val="006606B3"/>
    <w:rsid w:val="006609D8"/>
    <w:rsid w:val="0066105B"/>
    <w:rsid w:val="0066172E"/>
    <w:rsid w:val="006624A2"/>
    <w:rsid w:val="00662E7B"/>
    <w:rsid w:val="0066364A"/>
    <w:rsid w:val="00666CAB"/>
    <w:rsid w:val="00666F49"/>
    <w:rsid w:val="006678F3"/>
    <w:rsid w:val="006708E1"/>
    <w:rsid w:val="00671AA8"/>
    <w:rsid w:val="006721E4"/>
    <w:rsid w:val="00672520"/>
    <w:rsid w:val="00674915"/>
    <w:rsid w:val="0067521F"/>
    <w:rsid w:val="006768D1"/>
    <w:rsid w:val="00676A1F"/>
    <w:rsid w:val="00676D5C"/>
    <w:rsid w:val="006777A6"/>
    <w:rsid w:val="006779F5"/>
    <w:rsid w:val="0068160E"/>
    <w:rsid w:val="00681CE5"/>
    <w:rsid w:val="00681ECD"/>
    <w:rsid w:val="00682588"/>
    <w:rsid w:val="00683963"/>
    <w:rsid w:val="00683FAB"/>
    <w:rsid w:val="00684690"/>
    <w:rsid w:val="00686626"/>
    <w:rsid w:val="0068777B"/>
    <w:rsid w:val="006909F8"/>
    <w:rsid w:val="00691332"/>
    <w:rsid w:val="00691BDB"/>
    <w:rsid w:val="00691F9C"/>
    <w:rsid w:val="006920B4"/>
    <w:rsid w:val="0069232A"/>
    <w:rsid w:val="006936EA"/>
    <w:rsid w:val="0069525D"/>
    <w:rsid w:val="00695B3E"/>
    <w:rsid w:val="006972D4"/>
    <w:rsid w:val="006972F3"/>
    <w:rsid w:val="006A01E3"/>
    <w:rsid w:val="006A01FC"/>
    <w:rsid w:val="006A1270"/>
    <w:rsid w:val="006A1294"/>
    <w:rsid w:val="006A1AEA"/>
    <w:rsid w:val="006A2487"/>
    <w:rsid w:val="006A2A11"/>
    <w:rsid w:val="006A2D43"/>
    <w:rsid w:val="006A3649"/>
    <w:rsid w:val="006A369D"/>
    <w:rsid w:val="006A4276"/>
    <w:rsid w:val="006A46A9"/>
    <w:rsid w:val="006A496A"/>
    <w:rsid w:val="006A4A80"/>
    <w:rsid w:val="006A50A7"/>
    <w:rsid w:val="006A533C"/>
    <w:rsid w:val="006A57D8"/>
    <w:rsid w:val="006A68A0"/>
    <w:rsid w:val="006A6FE9"/>
    <w:rsid w:val="006B062D"/>
    <w:rsid w:val="006B08A4"/>
    <w:rsid w:val="006B431F"/>
    <w:rsid w:val="006B491D"/>
    <w:rsid w:val="006B4F39"/>
    <w:rsid w:val="006B7238"/>
    <w:rsid w:val="006B7F2F"/>
    <w:rsid w:val="006C0AE1"/>
    <w:rsid w:val="006C1197"/>
    <w:rsid w:val="006C34FD"/>
    <w:rsid w:val="006C5A66"/>
    <w:rsid w:val="006C5DED"/>
    <w:rsid w:val="006C640A"/>
    <w:rsid w:val="006C67C7"/>
    <w:rsid w:val="006C6E96"/>
    <w:rsid w:val="006D0472"/>
    <w:rsid w:val="006D0BD8"/>
    <w:rsid w:val="006D100D"/>
    <w:rsid w:val="006D10DE"/>
    <w:rsid w:val="006D115F"/>
    <w:rsid w:val="006D1527"/>
    <w:rsid w:val="006D190B"/>
    <w:rsid w:val="006D2420"/>
    <w:rsid w:val="006D33B1"/>
    <w:rsid w:val="006D3B60"/>
    <w:rsid w:val="006D459B"/>
    <w:rsid w:val="006D5628"/>
    <w:rsid w:val="006D5D73"/>
    <w:rsid w:val="006D67DE"/>
    <w:rsid w:val="006D67F8"/>
    <w:rsid w:val="006D6D34"/>
    <w:rsid w:val="006E09F1"/>
    <w:rsid w:val="006E0AE6"/>
    <w:rsid w:val="006E0F18"/>
    <w:rsid w:val="006E3045"/>
    <w:rsid w:val="006E333B"/>
    <w:rsid w:val="006E3E50"/>
    <w:rsid w:val="006E403F"/>
    <w:rsid w:val="006E4CA9"/>
    <w:rsid w:val="006E4F43"/>
    <w:rsid w:val="006E56CC"/>
    <w:rsid w:val="006E58E7"/>
    <w:rsid w:val="006E5978"/>
    <w:rsid w:val="006E5ECF"/>
    <w:rsid w:val="006E5F85"/>
    <w:rsid w:val="006E610C"/>
    <w:rsid w:val="006E700B"/>
    <w:rsid w:val="006F0262"/>
    <w:rsid w:val="006F078A"/>
    <w:rsid w:val="006F0892"/>
    <w:rsid w:val="006F127D"/>
    <w:rsid w:val="006F1507"/>
    <w:rsid w:val="006F1EC6"/>
    <w:rsid w:val="006F2139"/>
    <w:rsid w:val="006F2AB2"/>
    <w:rsid w:val="006F3131"/>
    <w:rsid w:val="006F34ED"/>
    <w:rsid w:val="006F5080"/>
    <w:rsid w:val="006F6173"/>
    <w:rsid w:val="006F6387"/>
    <w:rsid w:val="006F75C6"/>
    <w:rsid w:val="006F7846"/>
    <w:rsid w:val="006F7BFB"/>
    <w:rsid w:val="0070127A"/>
    <w:rsid w:val="007017F1"/>
    <w:rsid w:val="00703255"/>
    <w:rsid w:val="00703E20"/>
    <w:rsid w:val="00704007"/>
    <w:rsid w:val="0070470B"/>
    <w:rsid w:val="0070479E"/>
    <w:rsid w:val="00707B0E"/>
    <w:rsid w:val="00707B91"/>
    <w:rsid w:val="007104E5"/>
    <w:rsid w:val="007107AC"/>
    <w:rsid w:val="00710A97"/>
    <w:rsid w:val="00711367"/>
    <w:rsid w:val="00711E0A"/>
    <w:rsid w:val="00713427"/>
    <w:rsid w:val="007144AA"/>
    <w:rsid w:val="00714B50"/>
    <w:rsid w:val="00714E4A"/>
    <w:rsid w:val="00715551"/>
    <w:rsid w:val="00715938"/>
    <w:rsid w:val="007159F1"/>
    <w:rsid w:val="00715E49"/>
    <w:rsid w:val="0071687F"/>
    <w:rsid w:val="00716B18"/>
    <w:rsid w:val="0071714F"/>
    <w:rsid w:val="00720024"/>
    <w:rsid w:val="00720EBE"/>
    <w:rsid w:val="00721007"/>
    <w:rsid w:val="007225E4"/>
    <w:rsid w:val="007227DA"/>
    <w:rsid w:val="007243CD"/>
    <w:rsid w:val="00724449"/>
    <w:rsid w:val="00724CB4"/>
    <w:rsid w:val="007254E2"/>
    <w:rsid w:val="00725BD9"/>
    <w:rsid w:val="00726A28"/>
    <w:rsid w:val="00727E6A"/>
    <w:rsid w:val="00730237"/>
    <w:rsid w:val="00730DB0"/>
    <w:rsid w:val="00732798"/>
    <w:rsid w:val="00733CC1"/>
    <w:rsid w:val="00734089"/>
    <w:rsid w:val="007340BB"/>
    <w:rsid w:val="0073484F"/>
    <w:rsid w:val="00734C72"/>
    <w:rsid w:val="00736D58"/>
    <w:rsid w:val="00737648"/>
    <w:rsid w:val="007378A1"/>
    <w:rsid w:val="0074073F"/>
    <w:rsid w:val="00741D74"/>
    <w:rsid w:val="00741FC3"/>
    <w:rsid w:val="00742196"/>
    <w:rsid w:val="00743804"/>
    <w:rsid w:val="00743806"/>
    <w:rsid w:val="0074398E"/>
    <w:rsid w:val="007452DE"/>
    <w:rsid w:val="0074605B"/>
    <w:rsid w:val="00746C8F"/>
    <w:rsid w:val="00751BE7"/>
    <w:rsid w:val="00752AD2"/>
    <w:rsid w:val="00753BCB"/>
    <w:rsid w:val="00753F97"/>
    <w:rsid w:val="0075485A"/>
    <w:rsid w:val="00754EA5"/>
    <w:rsid w:val="0075503D"/>
    <w:rsid w:val="00755163"/>
    <w:rsid w:val="00755591"/>
    <w:rsid w:val="0075598C"/>
    <w:rsid w:val="00755E40"/>
    <w:rsid w:val="00756416"/>
    <w:rsid w:val="007578BA"/>
    <w:rsid w:val="00757A1F"/>
    <w:rsid w:val="00757FD6"/>
    <w:rsid w:val="00760527"/>
    <w:rsid w:val="0076175B"/>
    <w:rsid w:val="00761F15"/>
    <w:rsid w:val="00762264"/>
    <w:rsid w:val="007628C5"/>
    <w:rsid w:val="00762DDF"/>
    <w:rsid w:val="007634F6"/>
    <w:rsid w:val="007637AC"/>
    <w:rsid w:val="007645D7"/>
    <w:rsid w:val="0076485E"/>
    <w:rsid w:val="007649B4"/>
    <w:rsid w:val="00764BFB"/>
    <w:rsid w:val="00765452"/>
    <w:rsid w:val="0076598D"/>
    <w:rsid w:val="00770856"/>
    <w:rsid w:val="00770C72"/>
    <w:rsid w:val="00770F49"/>
    <w:rsid w:val="0077101B"/>
    <w:rsid w:val="007715DC"/>
    <w:rsid w:val="0077223B"/>
    <w:rsid w:val="007727DB"/>
    <w:rsid w:val="00772AC6"/>
    <w:rsid w:val="00773A29"/>
    <w:rsid w:val="00773F46"/>
    <w:rsid w:val="00774BBE"/>
    <w:rsid w:val="00775364"/>
    <w:rsid w:val="0077653F"/>
    <w:rsid w:val="00780CBD"/>
    <w:rsid w:val="00782C2F"/>
    <w:rsid w:val="00782D24"/>
    <w:rsid w:val="00783039"/>
    <w:rsid w:val="007849F3"/>
    <w:rsid w:val="00784A13"/>
    <w:rsid w:val="007851E8"/>
    <w:rsid w:val="00785211"/>
    <w:rsid w:val="00785B2E"/>
    <w:rsid w:val="00786CA5"/>
    <w:rsid w:val="00786EB8"/>
    <w:rsid w:val="00786ED9"/>
    <w:rsid w:val="00787099"/>
    <w:rsid w:val="007874DA"/>
    <w:rsid w:val="00787632"/>
    <w:rsid w:val="0079102D"/>
    <w:rsid w:val="00791CC9"/>
    <w:rsid w:val="007922AC"/>
    <w:rsid w:val="0079383A"/>
    <w:rsid w:val="007942FE"/>
    <w:rsid w:val="007953E5"/>
    <w:rsid w:val="0079616F"/>
    <w:rsid w:val="007975DD"/>
    <w:rsid w:val="00797AD1"/>
    <w:rsid w:val="007A089E"/>
    <w:rsid w:val="007A0FF1"/>
    <w:rsid w:val="007A102A"/>
    <w:rsid w:val="007A113F"/>
    <w:rsid w:val="007A1164"/>
    <w:rsid w:val="007A1556"/>
    <w:rsid w:val="007A15B2"/>
    <w:rsid w:val="007A1A31"/>
    <w:rsid w:val="007A5AD9"/>
    <w:rsid w:val="007A6296"/>
    <w:rsid w:val="007A6FC5"/>
    <w:rsid w:val="007A6FCE"/>
    <w:rsid w:val="007A77B5"/>
    <w:rsid w:val="007B04A3"/>
    <w:rsid w:val="007B0F15"/>
    <w:rsid w:val="007B14D9"/>
    <w:rsid w:val="007B23FC"/>
    <w:rsid w:val="007B2DDE"/>
    <w:rsid w:val="007B66FC"/>
    <w:rsid w:val="007B734B"/>
    <w:rsid w:val="007B73A5"/>
    <w:rsid w:val="007C0078"/>
    <w:rsid w:val="007C1018"/>
    <w:rsid w:val="007C2AB6"/>
    <w:rsid w:val="007C2C21"/>
    <w:rsid w:val="007C3B34"/>
    <w:rsid w:val="007C4D1A"/>
    <w:rsid w:val="007C6813"/>
    <w:rsid w:val="007C713F"/>
    <w:rsid w:val="007C7379"/>
    <w:rsid w:val="007C7761"/>
    <w:rsid w:val="007D045B"/>
    <w:rsid w:val="007D09EC"/>
    <w:rsid w:val="007D0B71"/>
    <w:rsid w:val="007D0C78"/>
    <w:rsid w:val="007D232D"/>
    <w:rsid w:val="007D3C0C"/>
    <w:rsid w:val="007D3F2A"/>
    <w:rsid w:val="007D425A"/>
    <w:rsid w:val="007E078E"/>
    <w:rsid w:val="007E0E47"/>
    <w:rsid w:val="007E1088"/>
    <w:rsid w:val="007E1552"/>
    <w:rsid w:val="007E1D8F"/>
    <w:rsid w:val="007E20A0"/>
    <w:rsid w:val="007E2F9E"/>
    <w:rsid w:val="007E309C"/>
    <w:rsid w:val="007E3B1A"/>
    <w:rsid w:val="007E3C11"/>
    <w:rsid w:val="007E460B"/>
    <w:rsid w:val="007E48EE"/>
    <w:rsid w:val="007E4DF3"/>
    <w:rsid w:val="007E710C"/>
    <w:rsid w:val="007E78FB"/>
    <w:rsid w:val="007F1187"/>
    <w:rsid w:val="007F2113"/>
    <w:rsid w:val="007F2F42"/>
    <w:rsid w:val="007F4CAD"/>
    <w:rsid w:val="007F4D87"/>
    <w:rsid w:val="007F52F1"/>
    <w:rsid w:val="007F5EE2"/>
    <w:rsid w:val="007F645C"/>
    <w:rsid w:val="007F6CA1"/>
    <w:rsid w:val="007F7409"/>
    <w:rsid w:val="007F7B5E"/>
    <w:rsid w:val="007F7C2A"/>
    <w:rsid w:val="008007FE"/>
    <w:rsid w:val="00800C0F"/>
    <w:rsid w:val="0080169C"/>
    <w:rsid w:val="00801851"/>
    <w:rsid w:val="00801EB4"/>
    <w:rsid w:val="0080260D"/>
    <w:rsid w:val="00803FC2"/>
    <w:rsid w:val="00804400"/>
    <w:rsid w:val="00804CCB"/>
    <w:rsid w:val="00807C29"/>
    <w:rsid w:val="008100F4"/>
    <w:rsid w:val="00810834"/>
    <w:rsid w:val="0081134A"/>
    <w:rsid w:val="00812365"/>
    <w:rsid w:val="008126F4"/>
    <w:rsid w:val="00812B90"/>
    <w:rsid w:val="00812C84"/>
    <w:rsid w:val="00813412"/>
    <w:rsid w:val="008135D4"/>
    <w:rsid w:val="00813782"/>
    <w:rsid w:val="00813A07"/>
    <w:rsid w:val="00813A70"/>
    <w:rsid w:val="00813B15"/>
    <w:rsid w:val="0081521D"/>
    <w:rsid w:val="00817950"/>
    <w:rsid w:val="00817DD6"/>
    <w:rsid w:val="00820068"/>
    <w:rsid w:val="008204C9"/>
    <w:rsid w:val="00821328"/>
    <w:rsid w:val="0082145B"/>
    <w:rsid w:val="00821993"/>
    <w:rsid w:val="00822EFE"/>
    <w:rsid w:val="00822FE6"/>
    <w:rsid w:val="00822FF3"/>
    <w:rsid w:val="008232DE"/>
    <w:rsid w:val="00823348"/>
    <w:rsid w:val="0082519A"/>
    <w:rsid w:val="00825921"/>
    <w:rsid w:val="008265C4"/>
    <w:rsid w:val="00827336"/>
    <w:rsid w:val="00827690"/>
    <w:rsid w:val="00827CE8"/>
    <w:rsid w:val="00830944"/>
    <w:rsid w:val="00830BEE"/>
    <w:rsid w:val="00831330"/>
    <w:rsid w:val="0083164A"/>
    <w:rsid w:val="008319E5"/>
    <w:rsid w:val="00832832"/>
    <w:rsid w:val="008328E3"/>
    <w:rsid w:val="008333B7"/>
    <w:rsid w:val="0083478F"/>
    <w:rsid w:val="00834E2A"/>
    <w:rsid w:val="00834F38"/>
    <w:rsid w:val="00835286"/>
    <w:rsid w:val="0083562A"/>
    <w:rsid w:val="00835910"/>
    <w:rsid w:val="008362AC"/>
    <w:rsid w:val="008363AB"/>
    <w:rsid w:val="00836474"/>
    <w:rsid w:val="00836B9B"/>
    <w:rsid w:val="00836DF3"/>
    <w:rsid w:val="00837183"/>
    <w:rsid w:val="00837659"/>
    <w:rsid w:val="00837FED"/>
    <w:rsid w:val="0084022E"/>
    <w:rsid w:val="00840357"/>
    <w:rsid w:val="00840C40"/>
    <w:rsid w:val="0084174F"/>
    <w:rsid w:val="0084213F"/>
    <w:rsid w:val="008421B5"/>
    <w:rsid w:val="0084251E"/>
    <w:rsid w:val="00843214"/>
    <w:rsid w:val="008437C7"/>
    <w:rsid w:val="00843812"/>
    <w:rsid w:val="00844207"/>
    <w:rsid w:val="0084622F"/>
    <w:rsid w:val="008463D8"/>
    <w:rsid w:val="008470AC"/>
    <w:rsid w:val="008470DE"/>
    <w:rsid w:val="008472A2"/>
    <w:rsid w:val="00850DA3"/>
    <w:rsid w:val="0085110D"/>
    <w:rsid w:val="0085124E"/>
    <w:rsid w:val="00851254"/>
    <w:rsid w:val="00851640"/>
    <w:rsid w:val="00851930"/>
    <w:rsid w:val="00851BA2"/>
    <w:rsid w:val="00852BAC"/>
    <w:rsid w:val="00853117"/>
    <w:rsid w:val="00854C93"/>
    <w:rsid w:val="00854D22"/>
    <w:rsid w:val="00854E3F"/>
    <w:rsid w:val="008555DF"/>
    <w:rsid w:val="00857CE3"/>
    <w:rsid w:val="00860B97"/>
    <w:rsid w:val="00861DE6"/>
    <w:rsid w:val="00863328"/>
    <w:rsid w:val="0086489D"/>
    <w:rsid w:val="008658A0"/>
    <w:rsid w:val="0086604A"/>
    <w:rsid w:val="008669C3"/>
    <w:rsid w:val="008679DD"/>
    <w:rsid w:val="00870EF6"/>
    <w:rsid w:val="00871C9D"/>
    <w:rsid w:val="008721A8"/>
    <w:rsid w:val="00872C60"/>
    <w:rsid w:val="008733A6"/>
    <w:rsid w:val="0087523C"/>
    <w:rsid w:val="008758A5"/>
    <w:rsid w:val="00875A80"/>
    <w:rsid w:val="0087603D"/>
    <w:rsid w:val="0087709F"/>
    <w:rsid w:val="008809CB"/>
    <w:rsid w:val="00880B48"/>
    <w:rsid w:val="008820CB"/>
    <w:rsid w:val="00882321"/>
    <w:rsid w:val="00882419"/>
    <w:rsid w:val="008848F2"/>
    <w:rsid w:val="00886A44"/>
    <w:rsid w:val="00887564"/>
    <w:rsid w:val="00890615"/>
    <w:rsid w:val="00891140"/>
    <w:rsid w:val="00891295"/>
    <w:rsid w:val="00892D49"/>
    <w:rsid w:val="008937E1"/>
    <w:rsid w:val="008948E6"/>
    <w:rsid w:val="00894A33"/>
    <w:rsid w:val="00897143"/>
    <w:rsid w:val="008974B5"/>
    <w:rsid w:val="0089754D"/>
    <w:rsid w:val="00897C07"/>
    <w:rsid w:val="008A09B5"/>
    <w:rsid w:val="008A156F"/>
    <w:rsid w:val="008A15C9"/>
    <w:rsid w:val="008A20D8"/>
    <w:rsid w:val="008A215B"/>
    <w:rsid w:val="008A2A0A"/>
    <w:rsid w:val="008A43E0"/>
    <w:rsid w:val="008A44A9"/>
    <w:rsid w:val="008A4612"/>
    <w:rsid w:val="008A4833"/>
    <w:rsid w:val="008A60B3"/>
    <w:rsid w:val="008A63BB"/>
    <w:rsid w:val="008A6875"/>
    <w:rsid w:val="008A7309"/>
    <w:rsid w:val="008B07A1"/>
    <w:rsid w:val="008B170C"/>
    <w:rsid w:val="008B1E7E"/>
    <w:rsid w:val="008B1ECE"/>
    <w:rsid w:val="008B2D3F"/>
    <w:rsid w:val="008B32CD"/>
    <w:rsid w:val="008B4765"/>
    <w:rsid w:val="008B69C5"/>
    <w:rsid w:val="008B6C2A"/>
    <w:rsid w:val="008B6E75"/>
    <w:rsid w:val="008C10CD"/>
    <w:rsid w:val="008C11E5"/>
    <w:rsid w:val="008C154C"/>
    <w:rsid w:val="008C205E"/>
    <w:rsid w:val="008C3732"/>
    <w:rsid w:val="008C44EC"/>
    <w:rsid w:val="008C45BA"/>
    <w:rsid w:val="008C46E8"/>
    <w:rsid w:val="008C4FA5"/>
    <w:rsid w:val="008C65B4"/>
    <w:rsid w:val="008C69F5"/>
    <w:rsid w:val="008C7A15"/>
    <w:rsid w:val="008C7F16"/>
    <w:rsid w:val="008C7FEC"/>
    <w:rsid w:val="008D0205"/>
    <w:rsid w:val="008D1026"/>
    <w:rsid w:val="008D1A4C"/>
    <w:rsid w:val="008D1FC9"/>
    <w:rsid w:val="008D21FD"/>
    <w:rsid w:val="008D2A77"/>
    <w:rsid w:val="008D3867"/>
    <w:rsid w:val="008D46C6"/>
    <w:rsid w:val="008D59F3"/>
    <w:rsid w:val="008D6081"/>
    <w:rsid w:val="008D63F7"/>
    <w:rsid w:val="008D6A1B"/>
    <w:rsid w:val="008E0394"/>
    <w:rsid w:val="008E1970"/>
    <w:rsid w:val="008E1B05"/>
    <w:rsid w:val="008E2853"/>
    <w:rsid w:val="008E3B68"/>
    <w:rsid w:val="008E3C67"/>
    <w:rsid w:val="008E3C99"/>
    <w:rsid w:val="008E3D03"/>
    <w:rsid w:val="008E3E7F"/>
    <w:rsid w:val="008E5E21"/>
    <w:rsid w:val="008E6530"/>
    <w:rsid w:val="008E668F"/>
    <w:rsid w:val="008F042F"/>
    <w:rsid w:val="008F1452"/>
    <w:rsid w:val="008F14D4"/>
    <w:rsid w:val="008F19C7"/>
    <w:rsid w:val="008F1B9C"/>
    <w:rsid w:val="008F2C6B"/>
    <w:rsid w:val="008F397A"/>
    <w:rsid w:val="008F39B3"/>
    <w:rsid w:val="008F3AB3"/>
    <w:rsid w:val="008F3ED3"/>
    <w:rsid w:val="008F443E"/>
    <w:rsid w:val="008F49BA"/>
    <w:rsid w:val="008F4AC3"/>
    <w:rsid w:val="008F5246"/>
    <w:rsid w:val="008F69C2"/>
    <w:rsid w:val="008F6CBB"/>
    <w:rsid w:val="00901DAE"/>
    <w:rsid w:val="0090282F"/>
    <w:rsid w:val="009028E0"/>
    <w:rsid w:val="009030B8"/>
    <w:rsid w:val="00903943"/>
    <w:rsid w:val="0090608F"/>
    <w:rsid w:val="0090680D"/>
    <w:rsid w:val="00907823"/>
    <w:rsid w:val="009103B2"/>
    <w:rsid w:val="00911B7E"/>
    <w:rsid w:val="00911E59"/>
    <w:rsid w:val="0091286D"/>
    <w:rsid w:val="00913EED"/>
    <w:rsid w:val="009159E2"/>
    <w:rsid w:val="009163A4"/>
    <w:rsid w:val="00916D62"/>
    <w:rsid w:val="00917126"/>
    <w:rsid w:val="00917836"/>
    <w:rsid w:val="009202DE"/>
    <w:rsid w:val="009204C4"/>
    <w:rsid w:val="00920897"/>
    <w:rsid w:val="00920A0C"/>
    <w:rsid w:val="0092125C"/>
    <w:rsid w:val="009215E1"/>
    <w:rsid w:val="00921A0A"/>
    <w:rsid w:val="0092276C"/>
    <w:rsid w:val="00922970"/>
    <w:rsid w:val="0092347D"/>
    <w:rsid w:val="00923B0C"/>
    <w:rsid w:val="009251DC"/>
    <w:rsid w:val="009255F2"/>
    <w:rsid w:val="00925D50"/>
    <w:rsid w:val="00925E48"/>
    <w:rsid w:val="00925FF9"/>
    <w:rsid w:val="00926509"/>
    <w:rsid w:val="0092669D"/>
    <w:rsid w:val="00926BCF"/>
    <w:rsid w:val="00927A02"/>
    <w:rsid w:val="00934D83"/>
    <w:rsid w:val="00936702"/>
    <w:rsid w:val="00940138"/>
    <w:rsid w:val="00940D5F"/>
    <w:rsid w:val="00940EF2"/>
    <w:rsid w:val="009415FD"/>
    <w:rsid w:val="00941909"/>
    <w:rsid w:val="00941A4E"/>
    <w:rsid w:val="00941D35"/>
    <w:rsid w:val="00941F40"/>
    <w:rsid w:val="009422FE"/>
    <w:rsid w:val="00942CC7"/>
    <w:rsid w:val="00946089"/>
    <w:rsid w:val="0095052A"/>
    <w:rsid w:val="00950DA1"/>
    <w:rsid w:val="009520DD"/>
    <w:rsid w:val="00952ABF"/>
    <w:rsid w:val="00952B63"/>
    <w:rsid w:val="00953D27"/>
    <w:rsid w:val="00953DA4"/>
    <w:rsid w:val="00955358"/>
    <w:rsid w:val="0095578B"/>
    <w:rsid w:val="00956D9A"/>
    <w:rsid w:val="00960042"/>
    <w:rsid w:val="009607D2"/>
    <w:rsid w:val="00960E9F"/>
    <w:rsid w:val="00960F3F"/>
    <w:rsid w:val="00961170"/>
    <w:rsid w:val="009612B2"/>
    <w:rsid w:val="0096204B"/>
    <w:rsid w:val="00962939"/>
    <w:rsid w:val="00963300"/>
    <w:rsid w:val="00964437"/>
    <w:rsid w:val="00964642"/>
    <w:rsid w:val="00964BC8"/>
    <w:rsid w:val="00964E8D"/>
    <w:rsid w:val="00965238"/>
    <w:rsid w:val="00965413"/>
    <w:rsid w:val="0096569E"/>
    <w:rsid w:val="00966FC5"/>
    <w:rsid w:val="00967410"/>
    <w:rsid w:val="0097042F"/>
    <w:rsid w:val="00971728"/>
    <w:rsid w:val="009718A2"/>
    <w:rsid w:val="00971A72"/>
    <w:rsid w:val="00973F68"/>
    <w:rsid w:val="00974B56"/>
    <w:rsid w:val="0097534E"/>
    <w:rsid w:val="00975E9F"/>
    <w:rsid w:val="009762AF"/>
    <w:rsid w:val="00977AE6"/>
    <w:rsid w:val="00977F24"/>
    <w:rsid w:val="009807D1"/>
    <w:rsid w:val="00981ECD"/>
    <w:rsid w:val="0098384C"/>
    <w:rsid w:val="00983A30"/>
    <w:rsid w:val="00983A55"/>
    <w:rsid w:val="00983BE2"/>
    <w:rsid w:val="00983DA2"/>
    <w:rsid w:val="0098461A"/>
    <w:rsid w:val="00984EFE"/>
    <w:rsid w:val="0098762F"/>
    <w:rsid w:val="009876F9"/>
    <w:rsid w:val="00987EA2"/>
    <w:rsid w:val="00990154"/>
    <w:rsid w:val="009904AF"/>
    <w:rsid w:val="00990D2F"/>
    <w:rsid w:val="0099156B"/>
    <w:rsid w:val="00991D55"/>
    <w:rsid w:val="009924F3"/>
    <w:rsid w:val="00992D91"/>
    <w:rsid w:val="00993265"/>
    <w:rsid w:val="00993D61"/>
    <w:rsid w:val="00994AD9"/>
    <w:rsid w:val="00994EC1"/>
    <w:rsid w:val="00995F04"/>
    <w:rsid w:val="00996B3A"/>
    <w:rsid w:val="00996D94"/>
    <w:rsid w:val="0099703B"/>
    <w:rsid w:val="00997B05"/>
    <w:rsid w:val="00997DDA"/>
    <w:rsid w:val="009A0240"/>
    <w:rsid w:val="009A1486"/>
    <w:rsid w:val="009A1666"/>
    <w:rsid w:val="009A4999"/>
    <w:rsid w:val="009A4A8A"/>
    <w:rsid w:val="009A4C1F"/>
    <w:rsid w:val="009A4D0E"/>
    <w:rsid w:val="009A530A"/>
    <w:rsid w:val="009A7C9C"/>
    <w:rsid w:val="009A7FFC"/>
    <w:rsid w:val="009B0949"/>
    <w:rsid w:val="009B12DB"/>
    <w:rsid w:val="009B18A3"/>
    <w:rsid w:val="009B201A"/>
    <w:rsid w:val="009B3509"/>
    <w:rsid w:val="009B3899"/>
    <w:rsid w:val="009B5C73"/>
    <w:rsid w:val="009B6E0B"/>
    <w:rsid w:val="009B7736"/>
    <w:rsid w:val="009B7C42"/>
    <w:rsid w:val="009B7D31"/>
    <w:rsid w:val="009C024A"/>
    <w:rsid w:val="009C0EF7"/>
    <w:rsid w:val="009C125D"/>
    <w:rsid w:val="009C1471"/>
    <w:rsid w:val="009C206B"/>
    <w:rsid w:val="009C370D"/>
    <w:rsid w:val="009C41BA"/>
    <w:rsid w:val="009C452D"/>
    <w:rsid w:val="009C4954"/>
    <w:rsid w:val="009C5387"/>
    <w:rsid w:val="009C5A11"/>
    <w:rsid w:val="009C7107"/>
    <w:rsid w:val="009C7BC5"/>
    <w:rsid w:val="009D005A"/>
    <w:rsid w:val="009D049E"/>
    <w:rsid w:val="009D05ED"/>
    <w:rsid w:val="009D074F"/>
    <w:rsid w:val="009D0D6B"/>
    <w:rsid w:val="009D24B6"/>
    <w:rsid w:val="009D26A3"/>
    <w:rsid w:val="009D2D78"/>
    <w:rsid w:val="009D3648"/>
    <w:rsid w:val="009D4F81"/>
    <w:rsid w:val="009D5CBF"/>
    <w:rsid w:val="009D6031"/>
    <w:rsid w:val="009D604B"/>
    <w:rsid w:val="009D62F7"/>
    <w:rsid w:val="009D6542"/>
    <w:rsid w:val="009D696E"/>
    <w:rsid w:val="009D69FC"/>
    <w:rsid w:val="009E1160"/>
    <w:rsid w:val="009E2E03"/>
    <w:rsid w:val="009E2F35"/>
    <w:rsid w:val="009E34C8"/>
    <w:rsid w:val="009E3AC1"/>
    <w:rsid w:val="009E3BE0"/>
    <w:rsid w:val="009E422A"/>
    <w:rsid w:val="009E4B25"/>
    <w:rsid w:val="009E54AD"/>
    <w:rsid w:val="009E5578"/>
    <w:rsid w:val="009E6477"/>
    <w:rsid w:val="009E67A0"/>
    <w:rsid w:val="009E6F7D"/>
    <w:rsid w:val="009E74D5"/>
    <w:rsid w:val="009E7A41"/>
    <w:rsid w:val="009E7A97"/>
    <w:rsid w:val="009F0AED"/>
    <w:rsid w:val="009F157F"/>
    <w:rsid w:val="009F1E3C"/>
    <w:rsid w:val="009F278A"/>
    <w:rsid w:val="009F2BA2"/>
    <w:rsid w:val="009F31D3"/>
    <w:rsid w:val="009F344D"/>
    <w:rsid w:val="009F3D18"/>
    <w:rsid w:val="009F3D28"/>
    <w:rsid w:val="00A002B3"/>
    <w:rsid w:val="00A00A61"/>
    <w:rsid w:val="00A03429"/>
    <w:rsid w:val="00A0371F"/>
    <w:rsid w:val="00A03DD0"/>
    <w:rsid w:val="00A04134"/>
    <w:rsid w:val="00A06651"/>
    <w:rsid w:val="00A076BF"/>
    <w:rsid w:val="00A07A02"/>
    <w:rsid w:val="00A1061C"/>
    <w:rsid w:val="00A10C42"/>
    <w:rsid w:val="00A110B8"/>
    <w:rsid w:val="00A11547"/>
    <w:rsid w:val="00A1433B"/>
    <w:rsid w:val="00A1457F"/>
    <w:rsid w:val="00A14B6B"/>
    <w:rsid w:val="00A14D1A"/>
    <w:rsid w:val="00A16362"/>
    <w:rsid w:val="00A16E53"/>
    <w:rsid w:val="00A17309"/>
    <w:rsid w:val="00A17A53"/>
    <w:rsid w:val="00A20D4F"/>
    <w:rsid w:val="00A213FA"/>
    <w:rsid w:val="00A24D9B"/>
    <w:rsid w:val="00A25022"/>
    <w:rsid w:val="00A268F5"/>
    <w:rsid w:val="00A2766C"/>
    <w:rsid w:val="00A3040E"/>
    <w:rsid w:val="00A30979"/>
    <w:rsid w:val="00A310E7"/>
    <w:rsid w:val="00A31106"/>
    <w:rsid w:val="00A31636"/>
    <w:rsid w:val="00A3175C"/>
    <w:rsid w:val="00A3198F"/>
    <w:rsid w:val="00A3272B"/>
    <w:rsid w:val="00A3299B"/>
    <w:rsid w:val="00A33B64"/>
    <w:rsid w:val="00A34353"/>
    <w:rsid w:val="00A35B5A"/>
    <w:rsid w:val="00A362B8"/>
    <w:rsid w:val="00A36DFC"/>
    <w:rsid w:val="00A37433"/>
    <w:rsid w:val="00A377D8"/>
    <w:rsid w:val="00A37D25"/>
    <w:rsid w:val="00A40084"/>
    <w:rsid w:val="00A40B3D"/>
    <w:rsid w:val="00A41449"/>
    <w:rsid w:val="00A41A3B"/>
    <w:rsid w:val="00A42B1A"/>
    <w:rsid w:val="00A43138"/>
    <w:rsid w:val="00A4479E"/>
    <w:rsid w:val="00A46CD2"/>
    <w:rsid w:val="00A46E80"/>
    <w:rsid w:val="00A53C3B"/>
    <w:rsid w:val="00A53FD9"/>
    <w:rsid w:val="00A54339"/>
    <w:rsid w:val="00A5468C"/>
    <w:rsid w:val="00A55941"/>
    <w:rsid w:val="00A57836"/>
    <w:rsid w:val="00A57C5E"/>
    <w:rsid w:val="00A607AD"/>
    <w:rsid w:val="00A60C35"/>
    <w:rsid w:val="00A61CDC"/>
    <w:rsid w:val="00A61F90"/>
    <w:rsid w:val="00A631C3"/>
    <w:rsid w:val="00A636B3"/>
    <w:rsid w:val="00A637DB"/>
    <w:rsid w:val="00A63A53"/>
    <w:rsid w:val="00A64167"/>
    <w:rsid w:val="00A6506A"/>
    <w:rsid w:val="00A660B3"/>
    <w:rsid w:val="00A71392"/>
    <w:rsid w:val="00A71424"/>
    <w:rsid w:val="00A7178A"/>
    <w:rsid w:val="00A720EC"/>
    <w:rsid w:val="00A7270F"/>
    <w:rsid w:val="00A73314"/>
    <w:rsid w:val="00A735FD"/>
    <w:rsid w:val="00A7462E"/>
    <w:rsid w:val="00A75817"/>
    <w:rsid w:val="00A76846"/>
    <w:rsid w:val="00A76C91"/>
    <w:rsid w:val="00A7744C"/>
    <w:rsid w:val="00A806B8"/>
    <w:rsid w:val="00A809B1"/>
    <w:rsid w:val="00A80AD4"/>
    <w:rsid w:val="00A81037"/>
    <w:rsid w:val="00A8147E"/>
    <w:rsid w:val="00A81F37"/>
    <w:rsid w:val="00A8225D"/>
    <w:rsid w:val="00A834A3"/>
    <w:rsid w:val="00A8438A"/>
    <w:rsid w:val="00A84B09"/>
    <w:rsid w:val="00A859CC"/>
    <w:rsid w:val="00A86EBB"/>
    <w:rsid w:val="00A871A8"/>
    <w:rsid w:val="00A87C13"/>
    <w:rsid w:val="00A87C1D"/>
    <w:rsid w:val="00A9098D"/>
    <w:rsid w:val="00A909F0"/>
    <w:rsid w:val="00A91168"/>
    <w:rsid w:val="00A9189C"/>
    <w:rsid w:val="00A9274A"/>
    <w:rsid w:val="00A941C5"/>
    <w:rsid w:val="00A9491E"/>
    <w:rsid w:val="00A95D7C"/>
    <w:rsid w:val="00A95F58"/>
    <w:rsid w:val="00A96236"/>
    <w:rsid w:val="00A96791"/>
    <w:rsid w:val="00A96D2F"/>
    <w:rsid w:val="00A9712D"/>
    <w:rsid w:val="00A9761F"/>
    <w:rsid w:val="00A979B3"/>
    <w:rsid w:val="00AA0228"/>
    <w:rsid w:val="00AA0C6D"/>
    <w:rsid w:val="00AA15F1"/>
    <w:rsid w:val="00AA20B5"/>
    <w:rsid w:val="00AA2951"/>
    <w:rsid w:val="00AA2C56"/>
    <w:rsid w:val="00AA2F53"/>
    <w:rsid w:val="00AA44DB"/>
    <w:rsid w:val="00AA5634"/>
    <w:rsid w:val="00AA56EB"/>
    <w:rsid w:val="00AA61A7"/>
    <w:rsid w:val="00AA6571"/>
    <w:rsid w:val="00AB0491"/>
    <w:rsid w:val="00AB0BED"/>
    <w:rsid w:val="00AB0C17"/>
    <w:rsid w:val="00AB163C"/>
    <w:rsid w:val="00AB2D83"/>
    <w:rsid w:val="00AB2DA6"/>
    <w:rsid w:val="00AB35C4"/>
    <w:rsid w:val="00AB517A"/>
    <w:rsid w:val="00AB5680"/>
    <w:rsid w:val="00AB615A"/>
    <w:rsid w:val="00AB68DD"/>
    <w:rsid w:val="00AB741A"/>
    <w:rsid w:val="00AB7887"/>
    <w:rsid w:val="00AC0CD4"/>
    <w:rsid w:val="00AC1C3C"/>
    <w:rsid w:val="00AC2471"/>
    <w:rsid w:val="00AC4569"/>
    <w:rsid w:val="00AC551E"/>
    <w:rsid w:val="00AC5F35"/>
    <w:rsid w:val="00AC627D"/>
    <w:rsid w:val="00AC6626"/>
    <w:rsid w:val="00AC6CEC"/>
    <w:rsid w:val="00AC7B21"/>
    <w:rsid w:val="00AD03DF"/>
    <w:rsid w:val="00AD0854"/>
    <w:rsid w:val="00AD0CF1"/>
    <w:rsid w:val="00AD0F6B"/>
    <w:rsid w:val="00AD11C7"/>
    <w:rsid w:val="00AD1264"/>
    <w:rsid w:val="00AD1CBA"/>
    <w:rsid w:val="00AD2790"/>
    <w:rsid w:val="00AD2B62"/>
    <w:rsid w:val="00AD391C"/>
    <w:rsid w:val="00AD3B40"/>
    <w:rsid w:val="00AD40BD"/>
    <w:rsid w:val="00AD456D"/>
    <w:rsid w:val="00AD50BD"/>
    <w:rsid w:val="00AD51FA"/>
    <w:rsid w:val="00AD635A"/>
    <w:rsid w:val="00AD6CB9"/>
    <w:rsid w:val="00AD6DAB"/>
    <w:rsid w:val="00AE06C2"/>
    <w:rsid w:val="00AE06EA"/>
    <w:rsid w:val="00AE10C2"/>
    <w:rsid w:val="00AE135C"/>
    <w:rsid w:val="00AE2122"/>
    <w:rsid w:val="00AE2A1E"/>
    <w:rsid w:val="00AE2CCF"/>
    <w:rsid w:val="00AE2FF0"/>
    <w:rsid w:val="00AE3082"/>
    <w:rsid w:val="00AE3224"/>
    <w:rsid w:val="00AE32CB"/>
    <w:rsid w:val="00AE356D"/>
    <w:rsid w:val="00AE5F9B"/>
    <w:rsid w:val="00AE6E63"/>
    <w:rsid w:val="00AF03E4"/>
    <w:rsid w:val="00AF0494"/>
    <w:rsid w:val="00AF167B"/>
    <w:rsid w:val="00AF1929"/>
    <w:rsid w:val="00AF1CB0"/>
    <w:rsid w:val="00AF2185"/>
    <w:rsid w:val="00AF2914"/>
    <w:rsid w:val="00AF3A41"/>
    <w:rsid w:val="00AF46B5"/>
    <w:rsid w:val="00AF46D1"/>
    <w:rsid w:val="00AF4C12"/>
    <w:rsid w:val="00AF4F3C"/>
    <w:rsid w:val="00AF6FF6"/>
    <w:rsid w:val="00AF79A2"/>
    <w:rsid w:val="00B017F4"/>
    <w:rsid w:val="00B01C97"/>
    <w:rsid w:val="00B02410"/>
    <w:rsid w:val="00B038E5"/>
    <w:rsid w:val="00B04369"/>
    <w:rsid w:val="00B04431"/>
    <w:rsid w:val="00B06945"/>
    <w:rsid w:val="00B06B06"/>
    <w:rsid w:val="00B106D0"/>
    <w:rsid w:val="00B10D22"/>
    <w:rsid w:val="00B10DA3"/>
    <w:rsid w:val="00B128B3"/>
    <w:rsid w:val="00B13F9A"/>
    <w:rsid w:val="00B144D4"/>
    <w:rsid w:val="00B14878"/>
    <w:rsid w:val="00B14FDA"/>
    <w:rsid w:val="00B152D3"/>
    <w:rsid w:val="00B15BF4"/>
    <w:rsid w:val="00B16CD1"/>
    <w:rsid w:val="00B17664"/>
    <w:rsid w:val="00B2038E"/>
    <w:rsid w:val="00B21DC9"/>
    <w:rsid w:val="00B2209A"/>
    <w:rsid w:val="00B22170"/>
    <w:rsid w:val="00B22BC7"/>
    <w:rsid w:val="00B23A81"/>
    <w:rsid w:val="00B24641"/>
    <w:rsid w:val="00B2487C"/>
    <w:rsid w:val="00B248A9"/>
    <w:rsid w:val="00B25886"/>
    <w:rsid w:val="00B259E8"/>
    <w:rsid w:val="00B25A0A"/>
    <w:rsid w:val="00B26648"/>
    <w:rsid w:val="00B27141"/>
    <w:rsid w:val="00B27F51"/>
    <w:rsid w:val="00B317EF"/>
    <w:rsid w:val="00B325FA"/>
    <w:rsid w:val="00B32DFF"/>
    <w:rsid w:val="00B32EFE"/>
    <w:rsid w:val="00B3332B"/>
    <w:rsid w:val="00B3361C"/>
    <w:rsid w:val="00B340E3"/>
    <w:rsid w:val="00B344EF"/>
    <w:rsid w:val="00B350D4"/>
    <w:rsid w:val="00B35214"/>
    <w:rsid w:val="00B35F63"/>
    <w:rsid w:val="00B36F86"/>
    <w:rsid w:val="00B37185"/>
    <w:rsid w:val="00B37E14"/>
    <w:rsid w:val="00B403E2"/>
    <w:rsid w:val="00B40490"/>
    <w:rsid w:val="00B42243"/>
    <w:rsid w:val="00B427B3"/>
    <w:rsid w:val="00B4367C"/>
    <w:rsid w:val="00B443C6"/>
    <w:rsid w:val="00B469A3"/>
    <w:rsid w:val="00B5035E"/>
    <w:rsid w:val="00B506AC"/>
    <w:rsid w:val="00B50DB7"/>
    <w:rsid w:val="00B511AF"/>
    <w:rsid w:val="00B512F5"/>
    <w:rsid w:val="00B51BA5"/>
    <w:rsid w:val="00B52F15"/>
    <w:rsid w:val="00B53193"/>
    <w:rsid w:val="00B54AA7"/>
    <w:rsid w:val="00B55C38"/>
    <w:rsid w:val="00B569FE"/>
    <w:rsid w:val="00B57A40"/>
    <w:rsid w:val="00B60A7A"/>
    <w:rsid w:val="00B60F9C"/>
    <w:rsid w:val="00B6183C"/>
    <w:rsid w:val="00B61894"/>
    <w:rsid w:val="00B618FC"/>
    <w:rsid w:val="00B637A3"/>
    <w:rsid w:val="00B637EE"/>
    <w:rsid w:val="00B63ACD"/>
    <w:rsid w:val="00B648F6"/>
    <w:rsid w:val="00B64A0B"/>
    <w:rsid w:val="00B652A0"/>
    <w:rsid w:val="00B652FA"/>
    <w:rsid w:val="00B655D6"/>
    <w:rsid w:val="00B70220"/>
    <w:rsid w:val="00B712D7"/>
    <w:rsid w:val="00B72573"/>
    <w:rsid w:val="00B729F0"/>
    <w:rsid w:val="00B73086"/>
    <w:rsid w:val="00B738FC"/>
    <w:rsid w:val="00B73DB5"/>
    <w:rsid w:val="00B743F0"/>
    <w:rsid w:val="00B75583"/>
    <w:rsid w:val="00B75599"/>
    <w:rsid w:val="00B755D6"/>
    <w:rsid w:val="00B75872"/>
    <w:rsid w:val="00B75D83"/>
    <w:rsid w:val="00B75DCA"/>
    <w:rsid w:val="00B76343"/>
    <w:rsid w:val="00B77343"/>
    <w:rsid w:val="00B77835"/>
    <w:rsid w:val="00B77EA9"/>
    <w:rsid w:val="00B82029"/>
    <w:rsid w:val="00B82E0E"/>
    <w:rsid w:val="00B82E44"/>
    <w:rsid w:val="00B8396D"/>
    <w:rsid w:val="00B8471D"/>
    <w:rsid w:val="00B84CB6"/>
    <w:rsid w:val="00B84FE7"/>
    <w:rsid w:val="00B85BB1"/>
    <w:rsid w:val="00B87529"/>
    <w:rsid w:val="00B87567"/>
    <w:rsid w:val="00B879F4"/>
    <w:rsid w:val="00B87D22"/>
    <w:rsid w:val="00B90889"/>
    <w:rsid w:val="00B912B2"/>
    <w:rsid w:val="00B91474"/>
    <w:rsid w:val="00B91FB7"/>
    <w:rsid w:val="00B92864"/>
    <w:rsid w:val="00B92BA9"/>
    <w:rsid w:val="00B935E9"/>
    <w:rsid w:val="00B94337"/>
    <w:rsid w:val="00B945B7"/>
    <w:rsid w:val="00B948E3"/>
    <w:rsid w:val="00B95074"/>
    <w:rsid w:val="00B955DE"/>
    <w:rsid w:val="00B95DD9"/>
    <w:rsid w:val="00B95F1E"/>
    <w:rsid w:val="00B962C8"/>
    <w:rsid w:val="00B96BB6"/>
    <w:rsid w:val="00B975A7"/>
    <w:rsid w:val="00B97887"/>
    <w:rsid w:val="00BA1A89"/>
    <w:rsid w:val="00BA1D10"/>
    <w:rsid w:val="00BA1E67"/>
    <w:rsid w:val="00BA2D87"/>
    <w:rsid w:val="00BA3AE5"/>
    <w:rsid w:val="00BA3BB4"/>
    <w:rsid w:val="00BA3F19"/>
    <w:rsid w:val="00BA418F"/>
    <w:rsid w:val="00BA4895"/>
    <w:rsid w:val="00BA4BCA"/>
    <w:rsid w:val="00BA5451"/>
    <w:rsid w:val="00BA6798"/>
    <w:rsid w:val="00BA6976"/>
    <w:rsid w:val="00BA7168"/>
    <w:rsid w:val="00BA76D4"/>
    <w:rsid w:val="00BB021D"/>
    <w:rsid w:val="00BB028B"/>
    <w:rsid w:val="00BB02D6"/>
    <w:rsid w:val="00BB0357"/>
    <w:rsid w:val="00BB07B9"/>
    <w:rsid w:val="00BB097D"/>
    <w:rsid w:val="00BB1083"/>
    <w:rsid w:val="00BB2055"/>
    <w:rsid w:val="00BB269B"/>
    <w:rsid w:val="00BB2A25"/>
    <w:rsid w:val="00BB60EF"/>
    <w:rsid w:val="00BB6893"/>
    <w:rsid w:val="00BB70C7"/>
    <w:rsid w:val="00BC0DC1"/>
    <w:rsid w:val="00BC1305"/>
    <w:rsid w:val="00BC1803"/>
    <w:rsid w:val="00BC2150"/>
    <w:rsid w:val="00BC2D3F"/>
    <w:rsid w:val="00BC42AB"/>
    <w:rsid w:val="00BC45D2"/>
    <w:rsid w:val="00BC5215"/>
    <w:rsid w:val="00BC5C28"/>
    <w:rsid w:val="00BC723D"/>
    <w:rsid w:val="00BC7483"/>
    <w:rsid w:val="00BD02A1"/>
    <w:rsid w:val="00BD20B5"/>
    <w:rsid w:val="00BD2123"/>
    <w:rsid w:val="00BD2325"/>
    <w:rsid w:val="00BD39D5"/>
    <w:rsid w:val="00BD4765"/>
    <w:rsid w:val="00BD4FD1"/>
    <w:rsid w:val="00BD55AA"/>
    <w:rsid w:val="00BD648B"/>
    <w:rsid w:val="00BD7182"/>
    <w:rsid w:val="00BE02F4"/>
    <w:rsid w:val="00BE0503"/>
    <w:rsid w:val="00BE0A59"/>
    <w:rsid w:val="00BE0C0C"/>
    <w:rsid w:val="00BE122E"/>
    <w:rsid w:val="00BE20B4"/>
    <w:rsid w:val="00BE407E"/>
    <w:rsid w:val="00BE4EE4"/>
    <w:rsid w:val="00BE7BFD"/>
    <w:rsid w:val="00BF0041"/>
    <w:rsid w:val="00BF079C"/>
    <w:rsid w:val="00BF0813"/>
    <w:rsid w:val="00BF0A81"/>
    <w:rsid w:val="00BF2AAB"/>
    <w:rsid w:val="00BF36E1"/>
    <w:rsid w:val="00BF3797"/>
    <w:rsid w:val="00BF4285"/>
    <w:rsid w:val="00BF4FE6"/>
    <w:rsid w:val="00BF5125"/>
    <w:rsid w:val="00BF566C"/>
    <w:rsid w:val="00BF6278"/>
    <w:rsid w:val="00BF6CC7"/>
    <w:rsid w:val="00BF7B43"/>
    <w:rsid w:val="00C00294"/>
    <w:rsid w:val="00C058B6"/>
    <w:rsid w:val="00C070D7"/>
    <w:rsid w:val="00C07BA2"/>
    <w:rsid w:val="00C10CA4"/>
    <w:rsid w:val="00C12DE1"/>
    <w:rsid w:val="00C12F80"/>
    <w:rsid w:val="00C13972"/>
    <w:rsid w:val="00C13B05"/>
    <w:rsid w:val="00C15F73"/>
    <w:rsid w:val="00C16513"/>
    <w:rsid w:val="00C17981"/>
    <w:rsid w:val="00C200ED"/>
    <w:rsid w:val="00C21283"/>
    <w:rsid w:val="00C22404"/>
    <w:rsid w:val="00C2437F"/>
    <w:rsid w:val="00C24EEF"/>
    <w:rsid w:val="00C25900"/>
    <w:rsid w:val="00C269EE"/>
    <w:rsid w:val="00C26C20"/>
    <w:rsid w:val="00C2702D"/>
    <w:rsid w:val="00C275C3"/>
    <w:rsid w:val="00C3038B"/>
    <w:rsid w:val="00C30459"/>
    <w:rsid w:val="00C30670"/>
    <w:rsid w:val="00C3154A"/>
    <w:rsid w:val="00C31593"/>
    <w:rsid w:val="00C31812"/>
    <w:rsid w:val="00C318CA"/>
    <w:rsid w:val="00C32C51"/>
    <w:rsid w:val="00C34283"/>
    <w:rsid w:val="00C34CF1"/>
    <w:rsid w:val="00C35183"/>
    <w:rsid w:val="00C35206"/>
    <w:rsid w:val="00C3671C"/>
    <w:rsid w:val="00C36D88"/>
    <w:rsid w:val="00C37278"/>
    <w:rsid w:val="00C37D32"/>
    <w:rsid w:val="00C4059C"/>
    <w:rsid w:val="00C40CC3"/>
    <w:rsid w:val="00C411F2"/>
    <w:rsid w:val="00C416DB"/>
    <w:rsid w:val="00C42067"/>
    <w:rsid w:val="00C425BA"/>
    <w:rsid w:val="00C436CA"/>
    <w:rsid w:val="00C43938"/>
    <w:rsid w:val="00C43E2C"/>
    <w:rsid w:val="00C4405B"/>
    <w:rsid w:val="00C444D3"/>
    <w:rsid w:val="00C4479A"/>
    <w:rsid w:val="00C46BCA"/>
    <w:rsid w:val="00C46DBF"/>
    <w:rsid w:val="00C47DEE"/>
    <w:rsid w:val="00C47E6F"/>
    <w:rsid w:val="00C50530"/>
    <w:rsid w:val="00C50BE0"/>
    <w:rsid w:val="00C51B76"/>
    <w:rsid w:val="00C522A8"/>
    <w:rsid w:val="00C53606"/>
    <w:rsid w:val="00C5494A"/>
    <w:rsid w:val="00C56249"/>
    <w:rsid w:val="00C60767"/>
    <w:rsid w:val="00C61189"/>
    <w:rsid w:val="00C61952"/>
    <w:rsid w:val="00C61DDA"/>
    <w:rsid w:val="00C62EA1"/>
    <w:rsid w:val="00C6369F"/>
    <w:rsid w:val="00C64C83"/>
    <w:rsid w:val="00C66BE3"/>
    <w:rsid w:val="00C66DBD"/>
    <w:rsid w:val="00C67C51"/>
    <w:rsid w:val="00C67D26"/>
    <w:rsid w:val="00C70394"/>
    <w:rsid w:val="00C70859"/>
    <w:rsid w:val="00C72051"/>
    <w:rsid w:val="00C725B9"/>
    <w:rsid w:val="00C731D1"/>
    <w:rsid w:val="00C73787"/>
    <w:rsid w:val="00C74B65"/>
    <w:rsid w:val="00C75DA4"/>
    <w:rsid w:val="00C76C5D"/>
    <w:rsid w:val="00C7706E"/>
    <w:rsid w:val="00C809DE"/>
    <w:rsid w:val="00C80B27"/>
    <w:rsid w:val="00C820A2"/>
    <w:rsid w:val="00C821C8"/>
    <w:rsid w:val="00C83790"/>
    <w:rsid w:val="00C83BA7"/>
    <w:rsid w:val="00C84118"/>
    <w:rsid w:val="00C84A6D"/>
    <w:rsid w:val="00C85082"/>
    <w:rsid w:val="00C8515B"/>
    <w:rsid w:val="00C85CFB"/>
    <w:rsid w:val="00C85E53"/>
    <w:rsid w:val="00C86122"/>
    <w:rsid w:val="00C865F4"/>
    <w:rsid w:val="00C873C9"/>
    <w:rsid w:val="00C8769E"/>
    <w:rsid w:val="00C9143A"/>
    <w:rsid w:val="00C91611"/>
    <w:rsid w:val="00C91B9F"/>
    <w:rsid w:val="00C91BEB"/>
    <w:rsid w:val="00C92362"/>
    <w:rsid w:val="00C9388E"/>
    <w:rsid w:val="00C94549"/>
    <w:rsid w:val="00C94674"/>
    <w:rsid w:val="00C94936"/>
    <w:rsid w:val="00C9528E"/>
    <w:rsid w:val="00C95BB7"/>
    <w:rsid w:val="00C9600D"/>
    <w:rsid w:val="00C96BA4"/>
    <w:rsid w:val="00C97FDB"/>
    <w:rsid w:val="00CA098E"/>
    <w:rsid w:val="00CA14A7"/>
    <w:rsid w:val="00CA1AA0"/>
    <w:rsid w:val="00CA1D8A"/>
    <w:rsid w:val="00CA1D92"/>
    <w:rsid w:val="00CA27F3"/>
    <w:rsid w:val="00CA306C"/>
    <w:rsid w:val="00CA3E09"/>
    <w:rsid w:val="00CA4233"/>
    <w:rsid w:val="00CA4C0A"/>
    <w:rsid w:val="00CA566D"/>
    <w:rsid w:val="00CA5D8A"/>
    <w:rsid w:val="00CA6905"/>
    <w:rsid w:val="00CA6D83"/>
    <w:rsid w:val="00CA70AA"/>
    <w:rsid w:val="00CB053C"/>
    <w:rsid w:val="00CB06AB"/>
    <w:rsid w:val="00CB21E0"/>
    <w:rsid w:val="00CB3162"/>
    <w:rsid w:val="00CB397C"/>
    <w:rsid w:val="00CB42BB"/>
    <w:rsid w:val="00CB48C5"/>
    <w:rsid w:val="00CB4BA5"/>
    <w:rsid w:val="00CB4C77"/>
    <w:rsid w:val="00CB4E5E"/>
    <w:rsid w:val="00CB6C3C"/>
    <w:rsid w:val="00CB7960"/>
    <w:rsid w:val="00CB7C3F"/>
    <w:rsid w:val="00CB7F66"/>
    <w:rsid w:val="00CC0BFD"/>
    <w:rsid w:val="00CC12F6"/>
    <w:rsid w:val="00CC181C"/>
    <w:rsid w:val="00CC1B44"/>
    <w:rsid w:val="00CC1D4C"/>
    <w:rsid w:val="00CC2182"/>
    <w:rsid w:val="00CC2684"/>
    <w:rsid w:val="00CC42CE"/>
    <w:rsid w:val="00CC49B2"/>
    <w:rsid w:val="00CC5198"/>
    <w:rsid w:val="00CC5340"/>
    <w:rsid w:val="00CC5CA9"/>
    <w:rsid w:val="00CC6A03"/>
    <w:rsid w:val="00CC7ACF"/>
    <w:rsid w:val="00CD0265"/>
    <w:rsid w:val="00CD098F"/>
    <w:rsid w:val="00CD2B59"/>
    <w:rsid w:val="00CD3FDB"/>
    <w:rsid w:val="00CD5699"/>
    <w:rsid w:val="00CD5E62"/>
    <w:rsid w:val="00CD6CAA"/>
    <w:rsid w:val="00CE06FE"/>
    <w:rsid w:val="00CE16D5"/>
    <w:rsid w:val="00CE2ED0"/>
    <w:rsid w:val="00CE3118"/>
    <w:rsid w:val="00CE3765"/>
    <w:rsid w:val="00CE3A99"/>
    <w:rsid w:val="00CE48A6"/>
    <w:rsid w:val="00CE5DC3"/>
    <w:rsid w:val="00CE6151"/>
    <w:rsid w:val="00CE75CC"/>
    <w:rsid w:val="00CE7A28"/>
    <w:rsid w:val="00CF0003"/>
    <w:rsid w:val="00CF2A32"/>
    <w:rsid w:val="00CF4FBA"/>
    <w:rsid w:val="00CF56A8"/>
    <w:rsid w:val="00CF59F1"/>
    <w:rsid w:val="00CF62E5"/>
    <w:rsid w:val="00CF6744"/>
    <w:rsid w:val="00CF722B"/>
    <w:rsid w:val="00CF7278"/>
    <w:rsid w:val="00CF7306"/>
    <w:rsid w:val="00CF7CDD"/>
    <w:rsid w:val="00CF7F59"/>
    <w:rsid w:val="00D00711"/>
    <w:rsid w:val="00D0097E"/>
    <w:rsid w:val="00D00F3D"/>
    <w:rsid w:val="00D00FA7"/>
    <w:rsid w:val="00D01640"/>
    <w:rsid w:val="00D01E3C"/>
    <w:rsid w:val="00D0212D"/>
    <w:rsid w:val="00D0296C"/>
    <w:rsid w:val="00D03688"/>
    <w:rsid w:val="00D04008"/>
    <w:rsid w:val="00D04E75"/>
    <w:rsid w:val="00D055F4"/>
    <w:rsid w:val="00D05BA9"/>
    <w:rsid w:val="00D06928"/>
    <w:rsid w:val="00D06932"/>
    <w:rsid w:val="00D06BF9"/>
    <w:rsid w:val="00D070DD"/>
    <w:rsid w:val="00D07663"/>
    <w:rsid w:val="00D11B9B"/>
    <w:rsid w:val="00D12214"/>
    <w:rsid w:val="00D12B10"/>
    <w:rsid w:val="00D130CD"/>
    <w:rsid w:val="00D13456"/>
    <w:rsid w:val="00D13F0D"/>
    <w:rsid w:val="00D15407"/>
    <w:rsid w:val="00D154B4"/>
    <w:rsid w:val="00D15F33"/>
    <w:rsid w:val="00D17B4E"/>
    <w:rsid w:val="00D205CB"/>
    <w:rsid w:val="00D20A6E"/>
    <w:rsid w:val="00D21499"/>
    <w:rsid w:val="00D21D7B"/>
    <w:rsid w:val="00D22A54"/>
    <w:rsid w:val="00D2393C"/>
    <w:rsid w:val="00D23B2D"/>
    <w:rsid w:val="00D242E9"/>
    <w:rsid w:val="00D27480"/>
    <w:rsid w:val="00D27A0F"/>
    <w:rsid w:val="00D3162A"/>
    <w:rsid w:val="00D31D83"/>
    <w:rsid w:val="00D31EAD"/>
    <w:rsid w:val="00D32382"/>
    <w:rsid w:val="00D32C2D"/>
    <w:rsid w:val="00D34E56"/>
    <w:rsid w:val="00D355F2"/>
    <w:rsid w:val="00D36B3C"/>
    <w:rsid w:val="00D36E32"/>
    <w:rsid w:val="00D37776"/>
    <w:rsid w:val="00D379E7"/>
    <w:rsid w:val="00D37AF7"/>
    <w:rsid w:val="00D40E92"/>
    <w:rsid w:val="00D4120A"/>
    <w:rsid w:val="00D4227B"/>
    <w:rsid w:val="00D43046"/>
    <w:rsid w:val="00D4436E"/>
    <w:rsid w:val="00D44501"/>
    <w:rsid w:val="00D456BD"/>
    <w:rsid w:val="00D45774"/>
    <w:rsid w:val="00D4637D"/>
    <w:rsid w:val="00D4689B"/>
    <w:rsid w:val="00D471A4"/>
    <w:rsid w:val="00D478FD"/>
    <w:rsid w:val="00D47CD2"/>
    <w:rsid w:val="00D5001B"/>
    <w:rsid w:val="00D5008B"/>
    <w:rsid w:val="00D52EE4"/>
    <w:rsid w:val="00D5357A"/>
    <w:rsid w:val="00D53892"/>
    <w:rsid w:val="00D542E0"/>
    <w:rsid w:val="00D5462D"/>
    <w:rsid w:val="00D554AF"/>
    <w:rsid w:val="00D554E5"/>
    <w:rsid w:val="00D55F5F"/>
    <w:rsid w:val="00D56507"/>
    <w:rsid w:val="00D568EC"/>
    <w:rsid w:val="00D56AC8"/>
    <w:rsid w:val="00D56FD6"/>
    <w:rsid w:val="00D57F29"/>
    <w:rsid w:val="00D60224"/>
    <w:rsid w:val="00D60E5B"/>
    <w:rsid w:val="00D6331E"/>
    <w:rsid w:val="00D6560B"/>
    <w:rsid w:val="00D65790"/>
    <w:rsid w:val="00D65F53"/>
    <w:rsid w:val="00D70376"/>
    <w:rsid w:val="00D70B24"/>
    <w:rsid w:val="00D71483"/>
    <w:rsid w:val="00D727F1"/>
    <w:rsid w:val="00D72994"/>
    <w:rsid w:val="00D738F2"/>
    <w:rsid w:val="00D73E04"/>
    <w:rsid w:val="00D74BF4"/>
    <w:rsid w:val="00D752E9"/>
    <w:rsid w:val="00D75548"/>
    <w:rsid w:val="00D75724"/>
    <w:rsid w:val="00D75F10"/>
    <w:rsid w:val="00D76042"/>
    <w:rsid w:val="00D7688B"/>
    <w:rsid w:val="00D77C3E"/>
    <w:rsid w:val="00D800FB"/>
    <w:rsid w:val="00D804CD"/>
    <w:rsid w:val="00D8137E"/>
    <w:rsid w:val="00D829F2"/>
    <w:rsid w:val="00D83301"/>
    <w:rsid w:val="00D846DF"/>
    <w:rsid w:val="00D85E07"/>
    <w:rsid w:val="00D86351"/>
    <w:rsid w:val="00D86AE5"/>
    <w:rsid w:val="00D8722B"/>
    <w:rsid w:val="00D87A04"/>
    <w:rsid w:val="00D90185"/>
    <w:rsid w:val="00D90B5C"/>
    <w:rsid w:val="00D91E7D"/>
    <w:rsid w:val="00D9257D"/>
    <w:rsid w:val="00D927A1"/>
    <w:rsid w:val="00D92A66"/>
    <w:rsid w:val="00D95082"/>
    <w:rsid w:val="00D9520E"/>
    <w:rsid w:val="00D95569"/>
    <w:rsid w:val="00D95B29"/>
    <w:rsid w:val="00D95F01"/>
    <w:rsid w:val="00D96309"/>
    <w:rsid w:val="00D96F15"/>
    <w:rsid w:val="00DA01AD"/>
    <w:rsid w:val="00DA0F60"/>
    <w:rsid w:val="00DA1A6E"/>
    <w:rsid w:val="00DA2368"/>
    <w:rsid w:val="00DA33A8"/>
    <w:rsid w:val="00DA33EE"/>
    <w:rsid w:val="00DA3E20"/>
    <w:rsid w:val="00DA40C8"/>
    <w:rsid w:val="00DA4C4C"/>
    <w:rsid w:val="00DA56CC"/>
    <w:rsid w:val="00DA6D16"/>
    <w:rsid w:val="00DA7386"/>
    <w:rsid w:val="00DA7A1C"/>
    <w:rsid w:val="00DB036D"/>
    <w:rsid w:val="00DB0857"/>
    <w:rsid w:val="00DB0F0B"/>
    <w:rsid w:val="00DB139A"/>
    <w:rsid w:val="00DB1E94"/>
    <w:rsid w:val="00DB349F"/>
    <w:rsid w:val="00DB3E3E"/>
    <w:rsid w:val="00DB4039"/>
    <w:rsid w:val="00DB5766"/>
    <w:rsid w:val="00DC0AD4"/>
    <w:rsid w:val="00DC112B"/>
    <w:rsid w:val="00DC1507"/>
    <w:rsid w:val="00DC46E7"/>
    <w:rsid w:val="00DC485E"/>
    <w:rsid w:val="00DC59B8"/>
    <w:rsid w:val="00DC5D73"/>
    <w:rsid w:val="00DC5E58"/>
    <w:rsid w:val="00DC61A7"/>
    <w:rsid w:val="00DC69DB"/>
    <w:rsid w:val="00DC6B05"/>
    <w:rsid w:val="00DC799C"/>
    <w:rsid w:val="00DD0159"/>
    <w:rsid w:val="00DD2B29"/>
    <w:rsid w:val="00DD3EB9"/>
    <w:rsid w:val="00DD515A"/>
    <w:rsid w:val="00DD6124"/>
    <w:rsid w:val="00DD61DD"/>
    <w:rsid w:val="00DD6489"/>
    <w:rsid w:val="00DD7ACC"/>
    <w:rsid w:val="00DD7F0C"/>
    <w:rsid w:val="00DE0A4F"/>
    <w:rsid w:val="00DE0F07"/>
    <w:rsid w:val="00DE12BE"/>
    <w:rsid w:val="00DE1F64"/>
    <w:rsid w:val="00DE212E"/>
    <w:rsid w:val="00DE290D"/>
    <w:rsid w:val="00DE3398"/>
    <w:rsid w:val="00DE34E7"/>
    <w:rsid w:val="00DE35E4"/>
    <w:rsid w:val="00DE395A"/>
    <w:rsid w:val="00DE4581"/>
    <w:rsid w:val="00DE4961"/>
    <w:rsid w:val="00DE4DAD"/>
    <w:rsid w:val="00DE563C"/>
    <w:rsid w:val="00DE5948"/>
    <w:rsid w:val="00DE5F3F"/>
    <w:rsid w:val="00DE64A7"/>
    <w:rsid w:val="00DE70B2"/>
    <w:rsid w:val="00DE7F19"/>
    <w:rsid w:val="00DF0848"/>
    <w:rsid w:val="00DF09B5"/>
    <w:rsid w:val="00DF0C01"/>
    <w:rsid w:val="00DF1702"/>
    <w:rsid w:val="00DF174C"/>
    <w:rsid w:val="00DF1A55"/>
    <w:rsid w:val="00DF21F8"/>
    <w:rsid w:val="00DF2455"/>
    <w:rsid w:val="00DF2663"/>
    <w:rsid w:val="00DF2CC2"/>
    <w:rsid w:val="00DF35F9"/>
    <w:rsid w:val="00DF3954"/>
    <w:rsid w:val="00DF3A0C"/>
    <w:rsid w:val="00DF4C98"/>
    <w:rsid w:val="00DF6476"/>
    <w:rsid w:val="00DF72FF"/>
    <w:rsid w:val="00E010DF"/>
    <w:rsid w:val="00E01266"/>
    <w:rsid w:val="00E012DD"/>
    <w:rsid w:val="00E0241F"/>
    <w:rsid w:val="00E0266E"/>
    <w:rsid w:val="00E02D73"/>
    <w:rsid w:val="00E0321C"/>
    <w:rsid w:val="00E03D0F"/>
    <w:rsid w:val="00E03D83"/>
    <w:rsid w:val="00E04288"/>
    <w:rsid w:val="00E05CD7"/>
    <w:rsid w:val="00E06570"/>
    <w:rsid w:val="00E10F37"/>
    <w:rsid w:val="00E11B26"/>
    <w:rsid w:val="00E11C03"/>
    <w:rsid w:val="00E12ADC"/>
    <w:rsid w:val="00E13692"/>
    <w:rsid w:val="00E15556"/>
    <w:rsid w:val="00E1569A"/>
    <w:rsid w:val="00E15A8D"/>
    <w:rsid w:val="00E15B0E"/>
    <w:rsid w:val="00E15B45"/>
    <w:rsid w:val="00E15C67"/>
    <w:rsid w:val="00E16099"/>
    <w:rsid w:val="00E16AEF"/>
    <w:rsid w:val="00E16B80"/>
    <w:rsid w:val="00E17113"/>
    <w:rsid w:val="00E179D5"/>
    <w:rsid w:val="00E179EB"/>
    <w:rsid w:val="00E17D8B"/>
    <w:rsid w:val="00E17E6A"/>
    <w:rsid w:val="00E207E4"/>
    <w:rsid w:val="00E20D3E"/>
    <w:rsid w:val="00E22CD6"/>
    <w:rsid w:val="00E22F68"/>
    <w:rsid w:val="00E24C35"/>
    <w:rsid w:val="00E26028"/>
    <w:rsid w:val="00E26D64"/>
    <w:rsid w:val="00E27166"/>
    <w:rsid w:val="00E27543"/>
    <w:rsid w:val="00E27959"/>
    <w:rsid w:val="00E300C8"/>
    <w:rsid w:val="00E300E9"/>
    <w:rsid w:val="00E30B20"/>
    <w:rsid w:val="00E31B1F"/>
    <w:rsid w:val="00E31F6C"/>
    <w:rsid w:val="00E32417"/>
    <w:rsid w:val="00E35F45"/>
    <w:rsid w:val="00E36D18"/>
    <w:rsid w:val="00E37025"/>
    <w:rsid w:val="00E37151"/>
    <w:rsid w:val="00E37336"/>
    <w:rsid w:val="00E413F5"/>
    <w:rsid w:val="00E42402"/>
    <w:rsid w:val="00E42579"/>
    <w:rsid w:val="00E43216"/>
    <w:rsid w:val="00E43C12"/>
    <w:rsid w:val="00E44FDA"/>
    <w:rsid w:val="00E45091"/>
    <w:rsid w:val="00E4532A"/>
    <w:rsid w:val="00E45A9C"/>
    <w:rsid w:val="00E45E0E"/>
    <w:rsid w:val="00E46CCC"/>
    <w:rsid w:val="00E4708F"/>
    <w:rsid w:val="00E47267"/>
    <w:rsid w:val="00E47635"/>
    <w:rsid w:val="00E50C45"/>
    <w:rsid w:val="00E51391"/>
    <w:rsid w:val="00E5144B"/>
    <w:rsid w:val="00E52632"/>
    <w:rsid w:val="00E52908"/>
    <w:rsid w:val="00E52B1F"/>
    <w:rsid w:val="00E5305D"/>
    <w:rsid w:val="00E5401A"/>
    <w:rsid w:val="00E540ED"/>
    <w:rsid w:val="00E5439F"/>
    <w:rsid w:val="00E5492E"/>
    <w:rsid w:val="00E54D2F"/>
    <w:rsid w:val="00E56675"/>
    <w:rsid w:val="00E57571"/>
    <w:rsid w:val="00E577C0"/>
    <w:rsid w:val="00E57AFF"/>
    <w:rsid w:val="00E600DA"/>
    <w:rsid w:val="00E600E9"/>
    <w:rsid w:val="00E606D5"/>
    <w:rsid w:val="00E607DF"/>
    <w:rsid w:val="00E61F95"/>
    <w:rsid w:val="00E62577"/>
    <w:rsid w:val="00E633B5"/>
    <w:rsid w:val="00E6398A"/>
    <w:rsid w:val="00E64B30"/>
    <w:rsid w:val="00E666CC"/>
    <w:rsid w:val="00E67104"/>
    <w:rsid w:val="00E6797A"/>
    <w:rsid w:val="00E679CD"/>
    <w:rsid w:val="00E67E09"/>
    <w:rsid w:val="00E67F14"/>
    <w:rsid w:val="00E7051B"/>
    <w:rsid w:val="00E7259B"/>
    <w:rsid w:val="00E73103"/>
    <w:rsid w:val="00E73727"/>
    <w:rsid w:val="00E73DA2"/>
    <w:rsid w:val="00E73E04"/>
    <w:rsid w:val="00E74269"/>
    <w:rsid w:val="00E7459E"/>
    <w:rsid w:val="00E747B5"/>
    <w:rsid w:val="00E7563E"/>
    <w:rsid w:val="00E75865"/>
    <w:rsid w:val="00E75941"/>
    <w:rsid w:val="00E77124"/>
    <w:rsid w:val="00E80752"/>
    <w:rsid w:val="00E80D6F"/>
    <w:rsid w:val="00E82700"/>
    <w:rsid w:val="00E82934"/>
    <w:rsid w:val="00E831CE"/>
    <w:rsid w:val="00E844A7"/>
    <w:rsid w:val="00E846D5"/>
    <w:rsid w:val="00E85E50"/>
    <w:rsid w:val="00E86749"/>
    <w:rsid w:val="00E86BB4"/>
    <w:rsid w:val="00E86D33"/>
    <w:rsid w:val="00E90D5F"/>
    <w:rsid w:val="00E91253"/>
    <w:rsid w:val="00E91AF4"/>
    <w:rsid w:val="00E92972"/>
    <w:rsid w:val="00E92A4D"/>
    <w:rsid w:val="00E9303C"/>
    <w:rsid w:val="00E94317"/>
    <w:rsid w:val="00E94812"/>
    <w:rsid w:val="00E95853"/>
    <w:rsid w:val="00E97445"/>
    <w:rsid w:val="00E9780F"/>
    <w:rsid w:val="00E97FBD"/>
    <w:rsid w:val="00EA032C"/>
    <w:rsid w:val="00EA1D17"/>
    <w:rsid w:val="00EA3310"/>
    <w:rsid w:val="00EA3811"/>
    <w:rsid w:val="00EA3F4D"/>
    <w:rsid w:val="00EA40F2"/>
    <w:rsid w:val="00EA435D"/>
    <w:rsid w:val="00EA5657"/>
    <w:rsid w:val="00EA56CA"/>
    <w:rsid w:val="00EA5A53"/>
    <w:rsid w:val="00EA5D01"/>
    <w:rsid w:val="00EA764E"/>
    <w:rsid w:val="00EA7999"/>
    <w:rsid w:val="00EA79A9"/>
    <w:rsid w:val="00EB05C8"/>
    <w:rsid w:val="00EB1FF0"/>
    <w:rsid w:val="00EB4FEC"/>
    <w:rsid w:val="00EB500F"/>
    <w:rsid w:val="00EB55DE"/>
    <w:rsid w:val="00EB5CBE"/>
    <w:rsid w:val="00EB631D"/>
    <w:rsid w:val="00EB661C"/>
    <w:rsid w:val="00EC0386"/>
    <w:rsid w:val="00EC07DB"/>
    <w:rsid w:val="00EC1E78"/>
    <w:rsid w:val="00EC1ED2"/>
    <w:rsid w:val="00EC1FF4"/>
    <w:rsid w:val="00EC2611"/>
    <w:rsid w:val="00EC28E4"/>
    <w:rsid w:val="00EC2B79"/>
    <w:rsid w:val="00EC3085"/>
    <w:rsid w:val="00EC33E4"/>
    <w:rsid w:val="00EC4B6E"/>
    <w:rsid w:val="00EC531D"/>
    <w:rsid w:val="00EC53B2"/>
    <w:rsid w:val="00EC6BCE"/>
    <w:rsid w:val="00EC6F8A"/>
    <w:rsid w:val="00EC78F3"/>
    <w:rsid w:val="00ED079F"/>
    <w:rsid w:val="00ED0C4B"/>
    <w:rsid w:val="00ED150B"/>
    <w:rsid w:val="00ED33FB"/>
    <w:rsid w:val="00ED4F25"/>
    <w:rsid w:val="00ED593C"/>
    <w:rsid w:val="00ED613F"/>
    <w:rsid w:val="00ED74EF"/>
    <w:rsid w:val="00ED7743"/>
    <w:rsid w:val="00EE020E"/>
    <w:rsid w:val="00EE06FC"/>
    <w:rsid w:val="00EE072B"/>
    <w:rsid w:val="00EE14EC"/>
    <w:rsid w:val="00EE1783"/>
    <w:rsid w:val="00EE1F70"/>
    <w:rsid w:val="00EE20A1"/>
    <w:rsid w:val="00EE2260"/>
    <w:rsid w:val="00EE2450"/>
    <w:rsid w:val="00EE2C70"/>
    <w:rsid w:val="00EE474F"/>
    <w:rsid w:val="00EE477A"/>
    <w:rsid w:val="00EE4CE1"/>
    <w:rsid w:val="00EE7826"/>
    <w:rsid w:val="00EF00FC"/>
    <w:rsid w:val="00EF217D"/>
    <w:rsid w:val="00EF3493"/>
    <w:rsid w:val="00EF46DF"/>
    <w:rsid w:val="00EF4817"/>
    <w:rsid w:val="00EF5045"/>
    <w:rsid w:val="00EF5565"/>
    <w:rsid w:val="00EF5AF5"/>
    <w:rsid w:val="00EF6158"/>
    <w:rsid w:val="00EF685F"/>
    <w:rsid w:val="00EF6DA0"/>
    <w:rsid w:val="00F00BCD"/>
    <w:rsid w:val="00F018F0"/>
    <w:rsid w:val="00F0221F"/>
    <w:rsid w:val="00F0265E"/>
    <w:rsid w:val="00F0449B"/>
    <w:rsid w:val="00F051EA"/>
    <w:rsid w:val="00F053CD"/>
    <w:rsid w:val="00F05BA3"/>
    <w:rsid w:val="00F066B1"/>
    <w:rsid w:val="00F06830"/>
    <w:rsid w:val="00F073A3"/>
    <w:rsid w:val="00F10ADD"/>
    <w:rsid w:val="00F10F33"/>
    <w:rsid w:val="00F1194A"/>
    <w:rsid w:val="00F11B53"/>
    <w:rsid w:val="00F11D99"/>
    <w:rsid w:val="00F120F9"/>
    <w:rsid w:val="00F142C1"/>
    <w:rsid w:val="00F144EC"/>
    <w:rsid w:val="00F14F83"/>
    <w:rsid w:val="00F153BD"/>
    <w:rsid w:val="00F16802"/>
    <w:rsid w:val="00F1684E"/>
    <w:rsid w:val="00F17667"/>
    <w:rsid w:val="00F20155"/>
    <w:rsid w:val="00F209A4"/>
    <w:rsid w:val="00F212F9"/>
    <w:rsid w:val="00F214C7"/>
    <w:rsid w:val="00F21DFF"/>
    <w:rsid w:val="00F2242D"/>
    <w:rsid w:val="00F2289D"/>
    <w:rsid w:val="00F22949"/>
    <w:rsid w:val="00F23122"/>
    <w:rsid w:val="00F24A06"/>
    <w:rsid w:val="00F2510A"/>
    <w:rsid w:val="00F2584C"/>
    <w:rsid w:val="00F26BF1"/>
    <w:rsid w:val="00F276F6"/>
    <w:rsid w:val="00F30408"/>
    <w:rsid w:val="00F30CA5"/>
    <w:rsid w:val="00F30F96"/>
    <w:rsid w:val="00F315A7"/>
    <w:rsid w:val="00F3286F"/>
    <w:rsid w:val="00F3304C"/>
    <w:rsid w:val="00F333D1"/>
    <w:rsid w:val="00F33CD3"/>
    <w:rsid w:val="00F34647"/>
    <w:rsid w:val="00F35CB0"/>
    <w:rsid w:val="00F36085"/>
    <w:rsid w:val="00F3705F"/>
    <w:rsid w:val="00F370E3"/>
    <w:rsid w:val="00F37696"/>
    <w:rsid w:val="00F37D85"/>
    <w:rsid w:val="00F37EBD"/>
    <w:rsid w:val="00F4227C"/>
    <w:rsid w:val="00F425E4"/>
    <w:rsid w:val="00F42895"/>
    <w:rsid w:val="00F44CCA"/>
    <w:rsid w:val="00F457BF"/>
    <w:rsid w:val="00F46F68"/>
    <w:rsid w:val="00F47367"/>
    <w:rsid w:val="00F474A6"/>
    <w:rsid w:val="00F47838"/>
    <w:rsid w:val="00F506A0"/>
    <w:rsid w:val="00F52F98"/>
    <w:rsid w:val="00F53B13"/>
    <w:rsid w:val="00F543B8"/>
    <w:rsid w:val="00F570AB"/>
    <w:rsid w:val="00F5711D"/>
    <w:rsid w:val="00F57E63"/>
    <w:rsid w:val="00F6024A"/>
    <w:rsid w:val="00F607C1"/>
    <w:rsid w:val="00F60A09"/>
    <w:rsid w:val="00F60E5D"/>
    <w:rsid w:val="00F60EFE"/>
    <w:rsid w:val="00F61E34"/>
    <w:rsid w:val="00F62455"/>
    <w:rsid w:val="00F63279"/>
    <w:rsid w:val="00F640BA"/>
    <w:rsid w:val="00F64883"/>
    <w:rsid w:val="00F6531F"/>
    <w:rsid w:val="00F659E6"/>
    <w:rsid w:val="00F659FB"/>
    <w:rsid w:val="00F66446"/>
    <w:rsid w:val="00F67CC8"/>
    <w:rsid w:val="00F701D4"/>
    <w:rsid w:val="00F70430"/>
    <w:rsid w:val="00F70708"/>
    <w:rsid w:val="00F70F17"/>
    <w:rsid w:val="00F70FEA"/>
    <w:rsid w:val="00F72018"/>
    <w:rsid w:val="00F73909"/>
    <w:rsid w:val="00F746AA"/>
    <w:rsid w:val="00F7489A"/>
    <w:rsid w:val="00F760D1"/>
    <w:rsid w:val="00F776F4"/>
    <w:rsid w:val="00F803D3"/>
    <w:rsid w:val="00F80812"/>
    <w:rsid w:val="00F80EF3"/>
    <w:rsid w:val="00F81128"/>
    <w:rsid w:val="00F81903"/>
    <w:rsid w:val="00F81A67"/>
    <w:rsid w:val="00F81F47"/>
    <w:rsid w:val="00F83238"/>
    <w:rsid w:val="00F8332D"/>
    <w:rsid w:val="00F85063"/>
    <w:rsid w:val="00F8506A"/>
    <w:rsid w:val="00F8590B"/>
    <w:rsid w:val="00F8755C"/>
    <w:rsid w:val="00F8786C"/>
    <w:rsid w:val="00F87C82"/>
    <w:rsid w:val="00F908F2"/>
    <w:rsid w:val="00F90DD6"/>
    <w:rsid w:val="00F91CF2"/>
    <w:rsid w:val="00F93871"/>
    <w:rsid w:val="00F94400"/>
    <w:rsid w:val="00F94841"/>
    <w:rsid w:val="00F94937"/>
    <w:rsid w:val="00F94A29"/>
    <w:rsid w:val="00F94BB6"/>
    <w:rsid w:val="00F95A99"/>
    <w:rsid w:val="00F95D8F"/>
    <w:rsid w:val="00F95E65"/>
    <w:rsid w:val="00F96EFE"/>
    <w:rsid w:val="00F97153"/>
    <w:rsid w:val="00F97216"/>
    <w:rsid w:val="00F9772D"/>
    <w:rsid w:val="00F9789E"/>
    <w:rsid w:val="00FA1186"/>
    <w:rsid w:val="00FA1360"/>
    <w:rsid w:val="00FA1EF2"/>
    <w:rsid w:val="00FA35E0"/>
    <w:rsid w:val="00FA37CC"/>
    <w:rsid w:val="00FA3DC8"/>
    <w:rsid w:val="00FA4A10"/>
    <w:rsid w:val="00FA4A2C"/>
    <w:rsid w:val="00FA5336"/>
    <w:rsid w:val="00FA6239"/>
    <w:rsid w:val="00FA6B0C"/>
    <w:rsid w:val="00FA6DCC"/>
    <w:rsid w:val="00FA70AB"/>
    <w:rsid w:val="00FA7B70"/>
    <w:rsid w:val="00FA7ECE"/>
    <w:rsid w:val="00FA7F2F"/>
    <w:rsid w:val="00FB009F"/>
    <w:rsid w:val="00FB0F74"/>
    <w:rsid w:val="00FB14AB"/>
    <w:rsid w:val="00FB1797"/>
    <w:rsid w:val="00FB1E5F"/>
    <w:rsid w:val="00FB2EB8"/>
    <w:rsid w:val="00FB36EC"/>
    <w:rsid w:val="00FB402A"/>
    <w:rsid w:val="00FB40FC"/>
    <w:rsid w:val="00FB4B38"/>
    <w:rsid w:val="00FB5E44"/>
    <w:rsid w:val="00FB61BF"/>
    <w:rsid w:val="00FB7EE2"/>
    <w:rsid w:val="00FB7F54"/>
    <w:rsid w:val="00FC0486"/>
    <w:rsid w:val="00FC22B3"/>
    <w:rsid w:val="00FC2FB6"/>
    <w:rsid w:val="00FC33C6"/>
    <w:rsid w:val="00FC3B94"/>
    <w:rsid w:val="00FC5BD6"/>
    <w:rsid w:val="00FC6031"/>
    <w:rsid w:val="00FC6967"/>
    <w:rsid w:val="00FC7DD8"/>
    <w:rsid w:val="00FD0CF2"/>
    <w:rsid w:val="00FD1E7B"/>
    <w:rsid w:val="00FD228E"/>
    <w:rsid w:val="00FD2913"/>
    <w:rsid w:val="00FD393D"/>
    <w:rsid w:val="00FD3B4C"/>
    <w:rsid w:val="00FD3BCA"/>
    <w:rsid w:val="00FD5E20"/>
    <w:rsid w:val="00FD5F68"/>
    <w:rsid w:val="00FD6799"/>
    <w:rsid w:val="00FD6A05"/>
    <w:rsid w:val="00FD7910"/>
    <w:rsid w:val="00FD7E35"/>
    <w:rsid w:val="00FE020A"/>
    <w:rsid w:val="00FE0377"/>
    <w:rsid w:val="00FE0541"/>
    <w:rsid w:val="00FE0F4A"/>
    <w:rsid w:val="00FE1520"/>
    <w:rsid w:val="00FE210D"/>
    <w:rsid w:val="00FE2818"/>
    <w:rsid w:val="00FE2C16"/>
    <w:rsid w:val="00FE2E7D"/>
    <w:rsid w:val="00FE4426"/>
    <w:rsid w:val="00FE4D19"/>
    <w:rsid w:val="00FE5835"/>
    <w:rsid w:val="00FE61DB"/>
    <w:rsid w:val="00FE68CF"/>
    <w:rsid w:val="00FE70C0"/>
    <w:rsid w:val="00FE789D"/>
    <w:rsid w:val="00FE7D2C"/>
    <w:rsid w:val="00FE7E36"/>
    <w:rsid w:val="00FF03AB"/>
    <w:rsid w:val="00FF1F0F"/>
    <w:rsid w:val="00FF1F21"/>
    <w:rsid w:val="00FF28B3"/>
    <w:rsid w:val="00FF2A15"/>
    <w:rsid w:val="00FF3F0F"/>
    <w:rsid w:val="00FF4123"/>
    <w:rsid w:val="00FF5D01"/>
    <w:rsid w:val="00FF642B"/>
    <w:rsid w:val="00FF6FD4"/>
    <w:rsid w:val="00FF74D1"/>
    <w:rsid w:val="00FF7848"/>
    <w:rsid w:val="00FF793F"/>
    <w:rsid w:val="00FF7BDB"/>
    <w:rsid w:val="00FF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DE985B8"/>
  <w15:docId w15:val="{8C515F16-2474-3940-97D6-5639D9BA2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648"/>
    <w:pPr>
      <w:spacing w:after="240" w:line="360" w:lineRule="auto"/>
      <w:jc w:val="both"/>
    </w:pPr>
    <w:rPr>
      <w:rFonts w:ascii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5295"/>
    <w:pPr>
      <w:keepNext/>
      <w:keepLines/>
      <w:spacing w:before="240" w:after="120"/>
      <w:outlineLvl w:val="0"/>
    </w:pPr>
    <w:rPr>
      <w:rFonts w:eastAsiaTheme="majorEastAsia"/>
      <w:b/>
      <w:color w:val="000000" w:themeColor="text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4A70"/>
    <w:pPr>
      <w:keepNext/>
      <w:keepLines/>
      <w:numPr>
        <w:numId w:val="3"/>
      </w:numPr>
      <w:spacing w:before="240"/>
      <w:ind w:left="284" w:hanging="357"/>
      <w:outlineLvl w:val="1"/>
    </w:pPr>
    <w:rPr>
      <w:rFonts w:ascii="Garamond" w:eastAsiaTheme="majorEastAsia" w:hAnsi="Garamond" w:cstheme="majorBidi"/>
      <w:i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0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00FD"/>
    <w:pPr>
      <w:ind w:left="720"/>
      <w:contextualSpacing/>
    </w:pPr>
  </w:style>
  <w:style w:type="paragraph" w:customStyle="1" w:styleId="Numberedparagraphs">
    <w:name w:val="Numbered paragraphs"/>
    <w:basedOn w:val="ListParagraph"/>
    <w:qFormat/>
    <w:rsid w:val="002E00FD"/>
    <w:pPr>
      <w:numPr>
        <w:numId w:val="1"/>
      </w:numPr>
      <w:contextualSpacing w:val="0"/>
    </w:pPr>
    <w:rPr>
      <w:rFonts w:ascii="Garamond" w:hAnsi="Garamond"/>
    </w:rPr>
  </w:style>
  <w:style w:type="character" w:customStyle="1" w:styleId="Heading2Char">
    <w:name w:val="Heading 2 Char"/>
    <w:basedOn w:val="DefaultParagraphFont"/>
    <w:link w:val="Heading2"/>
    <w:uiPriority w:val="9"/>
    <w:rsid w:val="00564A70"/>
    <w:rPr>
      <w:rFonts w:ascii="Garamond" w:eastAsiaTheme="majorEastAsia" w:hAnsi="Garamond" w:cstheme="majorBidi"/>
      <w:i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5C5295"/>
    <w:rPr>
      <w:rFonts w:ascii="Times New Roman" w:eastAsiaTheme="majorEastAsia" w:hAnsi="Times New Roman" w:cs="Times New Roman"/>
      <w:b/>
      <w:color w:val="000000" w:themeColor="text1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E00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00FD"/>
  </w:style>
  <w:style w:type="paragraph" w:styleId="Footer">
    <w:name w:val="footer"/>
    <w:basedOn w:val="Normal"/>
    <w:link w:val="FooterChar"/>
    <w:uiPriority w:val="99"/>
    <w:unhideWhenUsed/>
    <w:rsid w:val="002E00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00FD"/>
  </w:style>
  <w:style w:type="character" w:styleId="PageNumber">
    <w:name w:val="page number"/>
    <w:basedOn w:val="DefaultParagraphFont"/>
    <w:uiPriority w:val="99"/>
    <w:semiHidden/>
    <w:unhideWhenUsed/>
    <w:rsid w:val="002E00FD"/>
  </w:style>
  <w:style w:type="paragraph" w:styleId="FootnoteText">
    <w:name w:val="footnote text"/>
    <w:link w:val="FootnoteTextChar"/>
    <w:uiPriority w:val="99"/>
    <w:unhideWhenUsed/>
    <w:rsid w:val="00F95A99"/>
    <w:pPr>
      <w:jc w:val="both"/>
    </w:pPr>
    <w:rPr>
      <w:rFonts w:ascii="Times New Roman" w:hAnsi="Times New Roman" w:cs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95A99"/>
    <w:rPr>
      <w:rFonts w:ascii="Times New Roman" w:hAnsi="Times New Roman" w:cs="Times New Roman"/>
      <w:sz w:val="20"/>
    </w:rPr>
  </w:style>
  <w:style w:type="character" w:styleId="FootnoteReference">
    <w:name w:val="footnote reference"/>
    <w:basedOn w:val="DefaultParagraphFont"/>
    <w:uiPriority w:val="99"/>
    <w:unhideWhenUsed/>
    <w:rsid w:val="00564A7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D696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696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696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696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696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96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96E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0A5CA6"/>
  </w:style>
  <w:style w:type="character" w:styleId="Hyperlink">
    <w:name w:val="Hyperlink"/>
    <w:basedOn w:val="DefaultParagraphFont"/>
    <w:uiPriority w:val="99"/>
    <w:unhideWhenUsed/>
    <w:rsid w:val="000A5CA6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0A5CA6"/>
  </w:style>
  <w:style w:type="paragraph" w:styleId="Caption">
    <w:name w:val="caption"/>
    <w:basedOn w:val="Normal"/>
    <w:next w:val="Normal"/>
    <w:uiPriority w:val="35"/>
    <w:unhideWhenUsed/>
    <w:qFormat/>
    <w:rsid w:val="00AB615A"/>
    <w:pPr>
      <w:spacing w:after="200"/>
    </w:pPr>
    <w:rPr>
      <w:i/>
      <w:iCs/>
      <w:color w:val="44546A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B10DA3"/>
    <w:rPr>
      <w:color w:val="605E5C"/>
      <w:shd w:val="clear" w:color="auto" w:fill="E1DFDD"/>
    </w:rPr>
  </w:style>
  <w:style w:type="character" w:styleId="BookTitle">
    <w:name w:val="Book Title"/>
    <w:basedOn w:val="DefaultParagraphFont"/>
    <w:uiPriority w:val="33"/>
    <w:qFormat/>
    <w:rsid w:val="00003EFF"/>
    <w:rPr>
      <w:b/>
      <w:bCs/>
      <w:i/>
      <w:iCs/>
      <w:spacing w:val="5"/>
    </w:rPr>
  </w:style>
  <w:style w:type="paragraph" w:styleId="NoSpacing">
    <w:name w:val="No Spacing"/>
    <w:uiPriority w:val="1"/>
    <w:qFormat/>
    <w:rsid w:val="007F7409"/>
    <w:pPr>
      <w:jc w:val="both"/>
    </w:pPr>
    <w:rPr>
      <w:rFonts w:ascii="Times New Roman" w:hAnsi="Times New Roman" w:cs="Times New Roman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E03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6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23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84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6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9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48804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4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118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8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2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0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1753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2533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9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620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66404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4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50340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1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1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7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59054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1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93992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02386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59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988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9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35564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0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9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93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1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4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5434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4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69411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185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470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55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40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000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all.coghlan@eui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ations.parliament.uk/pa/jt201719/jtselect/jtrights/589/589.pdf" TargetMode="External"/><Relationship Id="rId3" Type="http://schemas.openxmlformats.org/officeDocument/2006/relationships/hyperlink" Target="https://www.harpersbazaar.com/uk/culture/a33296561/cancel-culture-a-force-for-good-or-a-threat-to-free-speech/" TargetMode="External"/><Relationship Id="rId7" Type="http://schemas.openxmlformats.org/officeDocument/2006/relationships/hyperlink" Target="https://www.bbc.com/news/entertainment-arts-20033097" TargetMode="External"/><Relationship Id="rId2" Type="http://schemas.openxmlformats.org/officeDocument/2006/relationships/hyperlink" Target="https://www.orwellfoundation.com/the-orwell-foundation/orwell/essays-and-other-works/the-freedom-of-the-press/" TargetMode="External"/><Relationship Id="rId1" Type="http://schemas.openxmlformats.org/officeDocument/2006/relationships/hyperlink" Target="https://plato.stanford.edu/entries/freedom-speech/" TargetMode="External"/><Relationship Id="rId6" Type="http://schemas.openxmlformats.org/officeDocument/2006/relationships/hyperlink" Target="https://www.theguardian.com/world/2019/sep/03/the-myth-of-the-free-speech-crisis" TargetMode="External"/><Relationship Id="rId5" Type="http://schemas.openxmlformats.org/officeDocument/2006/relationships/hyperlink" Target="https://www.objectivejournalism.org/p/a-more-specific-letter-on-justice" TargetMode="External"/><Relationship Id="rId4" Type="http://schemas.openxmlformats.org/officeDocument/2006/relationships/hyperlink" Target="https://harpers.org/a-letter-on-justice-and-open-debate/" TargetMode="External"/><Relationship Id="rId9" Type="http://schemas.openxmlformats.org/officeDocument/2006/relationships/hyperlink" Target="https://policyexchange.org.uk/publication/academic-freedom-in-the-uk-2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iallcoghlan/Library/Group%20Containers/UBF8T346G9.Office/User%20Content.localized/Templates.localized/My%20Templates/Advice%20etc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A0C9546-77D3-294F-9324-29CF41D5D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Advice etc template.dotx</Template>
  <TotalTime>115</TotalTime>
  <Pages>10</Pages>
  <Words>2781</Words>
  <Characters>15245</Characters>
  <Application>Microsoft Office Word</Application>
  <DocSecurity>0</DocSecurity>
  <Lines>220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Niall Coghlan</dc:creator>
  <cp:keywords/>
  <dc:description/>
  <cp:lastModifiedBy>Niall Coghlan</cp:lastModifiedBy>
  <cp:revision>326</cp:revision>
  <cp:lastPrinted>2020-12-01T10:56:00Z</cp:lastPrinted>
  <dcterms:created xsi:type="dcterms:W3CDTF">2020-11-30T16:29:00Z</dcterms:created>
  <dcterms:modified xsi:type="dcterms:W3CDTF">2020-12-01T11:19:00Z</dcterms:modified>
</cp:coreProperties>
</file>