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AFFBD" w14:textId="6E1E492A" w:rsidR="00653AD3" w:rsidRPr="00C02BFF" w:rsidRDefault="00653AD3" w:rsidP="00C02BFF">
      <w:pPr>
        <w:ind w:left="0" w:firstLine="0"/>
        <w:jc w:val="center"/>
        <w:rPr>
          <w:b/>
          <w:bCs/>
        </w:rPr>
      </w:pPr>
      <w:r w:rsidRPr="00C02BFF">
        <w:rPr>
          <w:b/>
          <w:bCs/>
        </w:rPr>
        <w:t>How would you improve or reform our current system for group litigation and other civil proceedings involving multiple parties?</w:t>
      </w:r>
    </w:p>
    <w:p w14:paraId="11E1BEF1" w14:textId="77777777" w:rsidR="00653AD3" w:rsidRPr="00C02BFF" w:rsidRDefault="00653AD3" w:rsidP="00C02BFF">
      <w:pPr>
        <w:pStyle w:val="Heading1"/>
        <w:numPr>
          <w:ilvl w:val="0"/>
          <w:numId w:val="1"/>
        </w:numPr>
        <w:rPr>
          <w:rFonts w:cs="Times New Roman"/>
          <w:szCs w:val="24"/>
        </w:rPr>
      </w:pPr>
      <w:r w:rsidRPr="00C02BFF">
        <w:rPr>
          <w:rFonts w:cs="Times New Roman"/>
          <w:szCs w:val="24"/>
        </w:rPr>
        <w:t>Introduction</w:t>
      </w:r>
    </w:p>
    <w:p w14:paraId="617F33D3" w14:textId="4FF6971D" w:rsidR="00670462" w:rsidRPr="00C02BFF" w:rsidRDefault="00670462" w:rsidP="00C02BFF">
      <w:pPr>
        <w:ind w:left="0" w:firstLine="0"/>
      </w:pPr>
      <w:r w:rsidRPr="00C02BFF">
        <w:t xml:space="preserve">This essay will argue that the current system for group litigation and other civil proceedings involving multiple parties in England and Wales </w:t>
      </w:r>
      <w:r w:rsidR="00937CC7" w:rsidRPr="00C02BFF">
        <w:t>would</w:t>
      </w:r>
      <w:r w:rsidRPr="00C02BFF">
        <w:t xml:space="preserve"> be improved by the introduction of a generic opt-out class action regime based on the collective procedure</w:t>
      </w:r>
      <w:r w:rsidR="00937CC7" w:rsidRPr="00C02BFF">
        <w:t xml:space="preserve"> available</w:t>
      </w:r>
      <w:r w:rsidRPr="00C02BFF">
        <w:t xml:space="preserve"> for competition law claims in the</w:t>
      </w:r>
      <w:r w:rsidR="00937CC7" w:rsidRPr="00C02BFF">
        <w:t xml:space="preserve"> Competition Appeal Tribunal</w:t>
      </w:r>
      <w:r w:rsidRPr="00C02BFF">
        <w:t xml:space="preserve"> </w:t>
      </w:r>
      <w:r w:rsidR="00937CC7" w:rsidRPr="00C02BFF">
        <w:t>(“</w:t>
      </w:r>
      <w:r w:rsidRPr="00C02BFF">
        <w:t>CAT</w:t>
      </w:r>
      <w:r w:rsidR="00937CC7" w:rsidRPr="00C02BFF">
        <w:t>”)</w:t>
      </w:r>
      <w:r w:rsidRPr="00C02BFF">
        <w:t xml:space="preserve">. The proposed class action mechanism would retain the prevailing system of costs shifting. However, it would also </w:t>
      </w:r>
      <w:r w:rsidR="00AD314D" w:rsidRPr="00C02BFF">
        <w:t>permit</w:t>
      </w:r>
      <w:r w:rsidRPr="00C02BFF">
        <w:t xml:space="preserve"> the recovery of fees by third party funders</w:t>
      </w:r>
      <w:r w:rsidR="00AD314D" w:rsidRPr="00C02BFF">
        <w:t xml:space="preserve"> from </w:t>
      </w:r>
      <w:r w:rsidR="00756102">
        <w:t>the</w:t>
      </w:r>
      <w:r w:rsidR="00D57D94" w:rsidRPr="00C02BFF">
        <w:t xml:space="preserve"> damages awarded</w:t>
      </w:r>
      <w:r w:rsidR="00F31CD3" w:rsidRPr="00C02BFF">
        <w:t>; i</w:t>
      </w:r>
      <w:r w:rsidRPr="00C02BFF">
        <w:t>n this respect, it differs from the CAT procedure.</w:t>
      </w:r>
    </w:p>
    <w:p w14:paraId="66B7B8B7" w14:textId="7FBCC669" w:rsidR="00F31CD3" w:rsidRPr="00C02BFF" w:rsidRDefault="00F31CD3" w:rsidP="00C02BFF">
      <w:pPr>
        <w:ind w:left="0" w:firstLine="0"/>
      </w:pPr>
      <w:r w:rsidRPr="00C02BFF">
        <w:t xml:space="preserve">The structure of this essay is </w:t>
      </w:r>
      <w:r w:rsidR="00937CC7" w:rsidRPr="00C02BFF">
        <w:t>to: (</w:t>
      </w:r>
      <w:proofErr w:type="spellStart"/>
      <w:r w:rsidR="00937CC7" w:rsidRPr="00C02BFF">
        <w:t>i</w:t>
      </w:r>
      <w:proofErr w:type="spellEnd"/>
      <w:r w:rsidR="00937CC7" w:rsidRPr="00C02BFF">
        <w:t xml:space="preserve">) identify the aims </w:t>
      </w:r>
      <w:r w:rsidRPr="00C02BFF">
        <w:t>of multi-party litigation</w:t>
      </w:r>
      <w:r w:rsidR="00937CC7" w:rsidRPr="00C02BFF">
        <w:t>; (ii) explain</w:t>
      </w:r>
      <w:r w:rsidRPr="00C02BFF">
        <w:t xml:space="preserve"> why the current system employed in England and Wales fails to satisfy those aims</w:t>
      </w:r>
      <w:r w:rsidR="00937CC7" w:rsidRPr="00C02BFF">
        <w:t xml:space="preserve">; (iii) propose the adoption of a generic opt-out class action regime; (iv) </w:t>
      </w:r>
      <w:r w:rsidR="00C02BFF" w:rsidRPr="00C02BFF">
        <w:t>address</w:t>
      </w:r>
      <w:r w:rsidR="00937CC7" w:rsidRPr="00C02BFF">
        <w:t xml:space="preserve"> a flaw in the CAT’s approach to litigation funding.</w:t>
      </w:r>
    </w:p>
    <w:p w14:paraId="34088E8A" w14:textId="69800369" w:rsidR="00653AD3" w:rsidRPr="00C02BFF" w:rsidRDefault="00030D51" w:rsidP="00C02BFF">
      <w:pPr>
        <w:pStyle w:val="Heading1"/>
        <w:numPr>
          <w:ilvl w:val="0"/>
          <w:numId w:val="1"/>
        </w:numPr>
        <w:rPr>
          <w:rFonts w:cs="Times New Roman"/>
          <w:szCs w:val="24"/>
        </w:rPr>
      </w:pPr>
      <w:r w:rsidRPr="00C02BFF">
        <w:rPr>
          <w:rFonts w:cs="Times New Roman"/>
          <w:szCs w:val="24"/>
        </w:rPr>
        <w:t>Objectives</w:t>
      </w:r>
      <w:r w:rsidR="00653AD3" w:rsidRPr="00C02BFF">
        <w:rPr>
          <w:rFonts w:cs="Times New Roman"/>
          <w:szCs w:val="24"/>
        </w:rPr>
        <w:t xml:space="preserve"> of</w:t>
      </w:r>
      <w:r w:rsidR="00211EF0" w:rsidRPr="00C02BFF">
        <w:rPr>
          <w:rFonts w:cs="Times New Roman"/>
          <w:szCs w:val="24"/>
        </w:rPr>
        <w:t xml:space="preserve"> multi-party litigation</w:t>
      </w:r>
    </w:p>
    <w:p w14:paraId="7A04E96E" w14:textId="1D946371" w:rsidR="003F2EAA" w:rsidRPr="00C02BFF" w:rsidRDefault="008A1582" w:rsidP="00C02BFF">
      <w:pPr>
        <w:ind w:left="0" w:firstLine="0"/>
      </w:pPr>
      <w:r w:rsidRPr="00C02BFF">
        <w:t xml:space="preserve">In order to answer the question of how the current system of multi-party litigation can be improved, we must first identify precisely what it is that we want </w:t>
      </w:r>
      <w:r w:rsidR="0066381C">
        <w:t>the</w:t>
      </w:r>
      <w:r w:rsidRPr="00C02BFF">
        <w:t xml:space="preserve"> system to achieve.</w:t>
      </w:r>
    </w:p>
    <w:p w14:paraId="1BC8FD39" w14:textId="0E811ADB" w:rsidR="003F2EAA" w:rsidRPr="00C02BFF" w:rsidRDefault="00700C2B" w:rsidP="00C02BFF">
      <w:pPr>
        <w:pStyle w:val="Heading2"/>
        <w:spacing w:before="240" w:after="240"/>
        <w:rPr>
          <w:rFonts w:cs="Times New Roman"/>
          <w:szCs w:val="24"/>
        </w:rPr>
      </w:pPr>
      <w:r w:rsidRPr="00C02BFF">
        <w:rPr>
          <w:rFonts w:cs="Times New Roman"/>
          <w:szCs w:val="24"/>
        </w:rPr>
        <w:t>Securing e</w:t>
      </w:r>
      <w:r w:rsidR="00030D51" w:rsidRPr="00C02BFF">
        <w:rPr>
          <w:rFonts w:cs="Times New Roman"/>
          <w:szCs w:val="24"/>
        </w:rPr>
        <w:t>ffective and efficient</w:t>
      </w:r>
      <w:r w:rsidR="002834AC" w:rsidRPr="00C02BFF">
        <w:rPr>
          <w:rFonts w:cs="Times New Roman"/>
          <w:szCs w:val="24"/>
        </w:rPr>
        <w:t xml:space="preserve"> access to</w:t>
      </w:r>
      <w:r w:rsidR="003F2EAA" w:rsidRPr="00C02BFF">
        <w:rPr>
          <w:rFonts w:cs="Times New Roman"/>
          <w:szCs w:val="24"/>
        </w:rPr>
        <w:t xml:space="preserve"> </w:t>
      </w:r>
      <w:r w:rsidR="002834AC" w:rsidRPr="00C02BFF">
        <w:rPr>
          <w:rFonts w:cs="Times New Roman"/>
          <w:szCs w:val="24"/>
        </w:rPr>
        <w:t>justice for individual</w:t>
      </w:r>
      <w:r w:rsidR="00030D51" w:rsidRPr="00C02BFF">
        <w:rPr>
          <w:rFonts w:cs="Times New Roman"/>
          <w:szCs w:val="24"/>
        </w:rPr>
        <w:t>s</w:t>
      </w:r>
    </w:p>
    <w:p w14:paraId="47510C4A" w14:textId="64B114C7" w:rsidR="00653AD3" w:rsidRPr="00C02BFF" w:rsidRDefault="00653AD3" w:rsidP="00C02BFF">
      <w:pPr>
        <w:ind w:left="0" w:firstLine="0"/>
      </w:pPr>
      <w:r w:rsidRPr="00C02BFF">
        <w:t xml:space="preserve">In his “Access to Justice: Final Report” (July 1996), Lord Woolf identified three fundamental objectives </w:t>
      </w:r>
      <w:r w:rsidR="008A1582" w:rsidRPr="00C02BFF">
        <w:t>for</w:t>
      </w:r>
      <w:r w:rsidRPr="00C02BFF">
        <w:t xml:space="preserve"> </w:t>
      </w:r>
      <w:r w:rsidR="00E33A49" w:rsidRPr="00C02BFF">
        <w:t xml:space="preserve">the </w:t>
      </w:r>
      <w:r w:rsidRPr="00C02BFF">
        <w:t>multi-party litigation regime in England and Wales</w:t>
      </w:r>
      <w:r w:rsidR="002834AC" w:rsidRPr="00C02BFF">
        <w:t>. His objectives</w:t>
      </w:r>
      <w:r w:rsidR="008A1582" w:rsidRPr="00C02BFF">
        <w:t xml:space="preserve"> were:</w:t>
      </w:r>
    </w:p>
    <w:p w14:paraId="0B5149A7" w14:textId="499EE350" w:rsidR="00653AD3" w:rsidRPr="00C02BFF" w:rsidRDefault="008A1582" w:rsidP="00C02BFF">
      <w:pPr>
        <w:pStyle w:val="ListParagraph"/>
        <w:numPr>
          <w:ilvl w:val="0"/>
          <w:numId w:val="22"/>
        </w:numPr>
        <w:contextualSpacing w:val="0"/>
      </w:pPr>
      <w:r w:rsidRPr="00C02BFF">
        <w:t>To p</w:t>
      </w:r>
      <w:r w:rsidR="00653AD3" w:rsidRPr="00C02BFF">
        <w:t>rovide access to justice in situations involving large numbers of claims which, individually, would be economically unviable to pursue.</w:t>
      </w:r>
    </w:p>
    <w:p w14:paraId="48834C2E" w14:textId="1D586CF3" w:rsidR="00653AD3" w:rsidRPr="00C02BFF" w:rsidRDefault="008A1582" w:rsidP="00C02BFF">
      <w:pPr>
        <w:pStyle w:val="ListParagraph"/>
        <w:numPr>
          <w:ilvl w:val="0"/>
          <w:numId w:val="22"/>
        </w:numPr>
        <w:contextualSpacing w:val="0"/>
      </w:pPr>
      <w:r w:rsidRPr="00C02BFF">
        <w:t>To p</w:t>
      </w:r>
      <w:r w:rsidR="00653AD3" w:rsidRPr="00C02BFF">
        <w:t>rovide effective and proportionate methods of resolving cases where the number of claimants means that the cases cannot be managed satisfactorily in accordance with normal procedure.</w:t>
      </w:r>
    </w:p>
    <w:p w14:paraId="700E699C" w14:textId="017EB576" w:rsidR="00653AD3" w:rsidRPr="00C02BFF" w:rsidRDefault="00E33A49" w:rsidP="00C02BFF">
      <w:pPr>
        <w:pStyle w:val="ListParagraph"/>
        <w:numPr>
          <w:ilvl w:val="0"/>
          <w:numId w:val="22"/>
        </w:numPr>
        <w:contextualSpacing w:val="0"/>
      </w:pPr>
      <w:r w:rsidRPr="00C02BFF">
        <w:lastRenderedPageBreak/>
        <w:t>To a</w:t>
      </w:r>
      <w:r w:rsidR="00653AD3" w:rsidRPr="00C02BFF">
        <w:t xml:space="preserve">chieve a balance between </w:t>
      </w:r>
      <w:r w:rsidRPr="00C02BFF">
        <w:t>(</w:t>
      </w:r>
      <w:proofErr w:type="spellStart"/>
      <w:r w:rsidRPr="00C02BFF">
        <w:t>i</w:t>
      </w:r>
      <w:proofErr w:type="spellEnd"/>
      <w:r w:rsidRPr="00C02BFF">
        <w:t xml:space="preserve">) </w:t>
      </w:r>
      <w:r w:rsidR="00653AD3" w:rsidRPr="00C02BFF">
        <w:t>the normal rights of claimants and defendants</w:t>
      </w:r>
      <w:r w:rsidRPr="00C02BFF">
        <w:t xml:space="preserve"> both </w:t>
      </w:r>
      <w:r w:rsidR="00653AD3" w:rsidRPr="00C02BFF">
        <w:t>to pursue and defend cases individually</w:t>
      </w:r>
      <w:r w:rsidRPr="00C02BFF">
        <w:t xml:space="preserve"> </w:t>
      </w:r>
      <w:r w:rsidR="00653AD3" w:rsidRPr="00C02BFF">
        <w:t>and</w:t>
      </w:r>
      <w:r w:rsidRPr="00C02BFF">
        <w:t xml:space="preserve"> (ii)</w:t>
      </w:r>
      <w:r w:rsidR="00653AD3" w:rsidRPr="00C02BFF">
        <w:t xml:space="preserve"> the interests of a group of parties to litigate the action as a whole in an effective manner.</w:t>
      </w:r>
    </w:p>
    <w:p w14:paraId="57E8C82C" w14:textId="43B4F2DF" w:rsidR="003F2EAA" w:rsidRPr="00C02BFF" w:rsidRDefault="00095A32" w:rsidP="00C02BFF">
      <w:pPr>
        <w:pStyle w:val="Heading2"/>
        <w:spacing w:before="240" w:after="240"/>
        <w:rPr>
          <w:rFonts w:cs="Times New Roman"/>
          <w:szCs w:val="24"/>
        </w:rPr>
      </w:pPr>
      <w:r w:rsidRPr="00C02BFF">
        <w:rPr>
          <w:rFonts w:cs="Times New Roman"/>
          <w:szCs w:val="24"/>
        </w:rPr>
        <w:t>Deterr</w:t>
      </w:r>
      <w:r w:rsidR="00700C2B" w:rsidRPr="00C02BFF">
        <w:rPr>
          <w:rFonts w:cs="Times New Roman"/>
          <w:szCs w:val="24"/>
        </w:rPr>
        <w:t>ing</w:t>
      </w:r>
      <w:r w:rsidR="007D3B5E" w:rsidRPr="00C02BFF">
        <w:rPr>
          <w:rFonts w:cs="Times New Roman"/>
          <w:szCs w:val="24"/>
        </w:rPr>
        <w:t xml:space="preserve"> </w:t>
      </w:r>
      <w:r w:rsidR="002834AC" w:rsidRPr="00C02BFF">
        <w:rPr>
          <w:rFonts w:cs="Times New Roman"/>
          <w:szCs w:val="24"/>
        </w:rPr>
        <w:t>unlawful conduct</w:t>
      </w:r>
      <w:r w:rsidRPr="00C02BFF">
        <w:rPr>
          <w:rFonts w:cs="Times New Roman"/>
          <w:szCs w:val="24"/>
        </w:rPr>
        <w:t xml:space="preserve"> and </w:t>
      </w:r>
      <w:r w:rsidR="00C350CA">
        <w:rPr>
          <w:rFonts w:cs="Times New Roman"/>
          <w:szCs w:val="24"/>
        </w:rPr>
        <w:t>supporting</w:t>
      </w:r>
      <w:r w:rsidR="002834AC" w:rsidRPr="00C02BFF">
        <w:rPr>
          <w:rFonts w:cs="Times New Roman"/>
          <w:szCs w:val="24"/>
        </w:rPr>
        <w:t xml:space="preserve"> regulatory </w:t>
      </w:r>
      <w:r w:rsidR="007D3B5E" w:rsidRPr="00C02BFF">
        <w:rPr>
          <w:rFonts w:cs="Times New Roman"/>
          <w:szCs w:val="24"/>
        </w:rPr>
        <w:t>regimes</w:t>
      </w:r>
    </w:p>
    <w:p w14:paraId="5E2E35B9" w14:textId="5079A66A" w:rsidR="00742382" w:rsidRPr="00C02BFF" w:rsidRDefault="002834AC" w:rsidP="00C02BFF">
      <w:pPr>
        <w:ind w:left="0" w:firstLine="0"/>
      </w:pPr>
      <w:r w:rsidRPr="00C02BFF">
        <w:t xml:space="preserve">In addition to </w:t>
      </w:r>
      <w:r w:rsidR="00130ACE" w:rsidRPr="00C02BFF">
        <w:t xml:space="preserve">the primary objective of </w:t>
      </w:r>
      <w:r w:rsidRPr="00C02BFF">
        <w:t>securing access to justice for affected individuals, there are</w:t>
      </w:r>
      <w:r w:rsidR="00742382" w:rsidRPr="00C02BFF">
        <w:t xml:space="preserve"> least two other important </w:t>
      </w:r>
      <w:r w:rsidR="00130ACE" w:rsidRPr="00C02BFF">
        <w:t xml:space="preserve">secondary </w:t>
      </w:r>
      <w:r w:rsidR="00742382" w:rsidRPr="00C02BFF">
        <w:t xml:space="preserve">goals </w:t>
      </w:r>
      <w:r w:rsidR="00335514" w:rsidRPr="00C02BFF">
        <w:t xml:space="preserve">that </w:t>
      </w:r>
      <w:r w:rsidR="00742382" w:rsidRPr="00C02BFF">
        <w:t xml:space="preserve">may be </w:t>
      </w:r>
      <w:r w:rsidR="00E2636D">
        <w:t>advanced</w:t>
      </w:r>
      <w:r w:rsidR="00742382" w:rsidRPr="00C02BFF">
        <w:t xml:space="preserve"> through a </w:t>
      </w:r>
      <w:r w:rsidR="000A63B0" w:rsidRPr="00C02BFF">
        <w:t>state’s</w:t>
      </w:r>
      <w:r w:rsidR="00742382" w:rsidRPr="00C02BFF">
        <w:t xml:space="preserve"> system of collective redress</w:t>
      </w:r>
      <w:r w:rsidR="005A1D48" w:rsidRPr="00C02BFF">
        <w:t>.</w:t>
      </w:r>
    </w:p>
    <w:p w14:paraId="0A642C90" w14:textId="16213700" w:rsidR="000A63B0" w:rsidRPr="00C02BFF" w:rsidRDefault="005A1D48" w:rsidP="00C02BFF">
      <w:pPr>
        <w:ind w:left="0" w:firstLine="0"/>
      </w:pPr>
      <w:r w:rsidRPr="00C02BFF">
        <w:t>The first is the d</w:t>
      </w:r>
      <w:r w:rsidR="00653AD3" w:rsidRPr="00C02BFF">
        <w:t>eterrence</w:t>
      </w:r>
      <w:r w:rsidR="00742382" w:rsidRPr="00C02BFF">
        <w:t xml:space="preserve"> of unlawful conduct</w:t>
      </w:r>
      <w:r w:rsidR="000A63B0" w:rsidRPr="00C02BFF">
        <w:t>.</w:t>
      </w:r>
      <w:r w:rsidR="00B926F7" w:rsidRPr="00C02BFF">
        <w:t xml:space="preserve"> </w:t>
      </w:r>
      <w:r w:rsidR="00A07776" w:rsidRPr="00C02BFF">
        <w:t>Allowing victims ready</w:t>
      </w:r>
      <w:r w:rsidR="00B926F7" w:rsidRPr="00C02BFF">
        <w:t xml:space="preserve"> access to the courts</w:t>
      </w:r>
      <w:r w:rsidR="00740703" w:rsidRPr="00C02BFF">
        <w:t xml:space="preserve"> increases the cost to </w:t>
      </w:r>
      <w:r w:rsidR="00526755" w:rsidRPr="00C02BFF">
        <w:t>defendants</w:t>
      </w:r>
      <w:r w:rsidR="00740703" w:rsidRPr="00C02BFF">
        <w:t xml:space="preserve"> of </w:t>
      </w:r>
      <w:r w:rsidR="00610896" w:rsidRPr="00C02BFF">
        <w:t>breaching the law</w:t>
      </w:r>
      <w:r w:rsidR="009C5084">
        <w:t>: the effect is to deter such conduct</w:t>
      </w:r>
      <w:r w:rsidR="00526755" w:rsidRPr="00C02BFF">
        <w:t xml:space="preserve">. </w:t>
      </w:r>
      <w:r w:rsidR="000A63B0" w:rsidRPr="00C02BFF">
        <w:t xml:space="preserve">As </w:t>
      </w:r>
      <w:r w:rsidRPr="00C02BFF">
        <w:t>Lord Neuberger observed:</w:t>
      </w:r>
    </w:p>
    <w:p w14:paraId="5106301A" w14:textId="7F235AED" w:rsidR="00742382" w:rsidRPr="00C02BFF" w:rsidRDefault="005A1D48" w:rsidP="00C02BFF">
      <w:pPr>
        <w:ind w:left="0" w:firstLine="0"/>
      </w:pPr>
      <w:r w:rsidRPr="00C02BFF">
        <w:t>“If all members of society cannot gain genuine access to the courts, then the possibility exists for society to become exploitative, as some elements take advantage of the fact that they can ignore the law with relative impunity.”</w:t>
      </w:r>
      <w:r w:rsidRPr="00C02BFF">
        <w:rPr>
          <w:rStyle w:val="FootnoteReference"/>
        </w:rPr>
        <w:footnoteReference w:id="1"/>
      </w:r>
    </w:p>
    <w:p w14:paraId="0B8764C0" w14:textId="660C622E" w:rsidR="005C5B24" w:rsidRPr="00C02BFF" w:rsidRDefault="005A1D48" w:rsidP="00C02BFF">
      <w:pPr>
        <w:ind w:left="0" w:firstLine="0"/>
      </w:pPr>
      <w:r w:rsidRPr="00C02BFF">
        <w:t xml:space="preserve">The second is the </w:t>
      </w:r>
      <w:r w:rsidR="000A63B0" w:rsidRPr="00C02BFF">
        <w:t>supplementation of</w:t>
      </w:r>
      <w:r w:rsidR="00653AD3" w:rsidRPr="00C02BFF">
        <w:t xml:space="preserve"> regulatory </w:t>
      </w:r>
      <w:r w:rsidR="000A63B0" w:rsidRPr="00C02BFF">
        <w:t>regimes</w:t>
      </w:r>
      <w:r w:rsidR="00653AD3" w:rsidRPr="00C02BFF">
        <w:t xml:space="preserve"> through private law enforcement</w:t>
      </w:r>
      <w:r w:rsidR="00742382" w:rsidRPr="00C02BFF">
        <w:t>.</w:t>
      </w:r>
      <w:r w:rsidRPr="00C02BFF">
        <w:t xml:space="preserve"> </w:t>
      </w:r>
      <w:r w:rsidR="0003667E" w:rsidRPr="00C02BFF">
        <w:t xml:space="preserve">Public and regulatory bodies suffer from a number of limitations that favour </w:t>
      </w:r>
      <w:r w:rsidR="005C5B24" w:rsidRPr="00C02BFF">
        <w:t xml:space="preserve">the availability of </w:t>
      </w:r>
      <w:r w:rsidR="0003667E" w:rsidRPr="00C02BFF">
        <w:t>alternative routes</w:t>
      </w:r>
      <w:r w:rsidR="005C5B24" w:rsidRPr="00C02BFF">
        <w:t xml:space="preserve"> to enforcement</w:t>
      </w:r>
      <w:r w:rsidR="0003667E" w:rsidRPr="00C02BFF">
        <w:t xml:space="preserve"> through civil action</w:t>
      </w:r>
      <w:r w:rsidR="000A63B0" w:rsidRPr="00C02BFF">
        <w:t>, such as: (</w:t>
      </w:r>
      <w:proofErr w:type="spellStart"/>
      <w:r w:rsidR="000A63B0" w:rsidRPr="00C02BFF">
        <w:t>i</w:t>
      </w:r>
      <w:proofErr w:type="spellEnd"/>
      <w:r w:rsidR="000A63B0" w:rsidRPr="00C02BFF">
        <w:t xml:space="preserve">) their </w:t>
      </w:r>
      <w:r w:rsidR="005C5B24" w:rsidRPr="00C02BFF">
        <w:t>vulnerab</w:t>
      </w:r>
      <w:r w:rsidR="000A63B0" w:rsidRPr="00C02BFF">
        <w:t>ility</w:t>
      </w:r>
      <w:r w:rsidR="005C5B24" w:rsidRPr="00C02BFF">
        <w:t xml:space="preserve"> to lobbying and political pressure</w:t>
      </w:r>
      <w:r w:rsidR="000A63B0" w:rsidRPr="00C02BFF">
        <w:t>;</w:t>
      </w:r>
      <w:r w:rsidR="003613F8" w:rsidRPr="00C02BFF">
        <w:t xml:space="preserve"> and</w:t>
      </w:r>
      <w:r w:rsidR="000A63B0" w:rsidRPr="00C02BFF">
        <w:t xml:space="preserve"> (ii) their dependence </w:t>
      </w:r>
      <w:r w:rsidR="005C5B24" w:rsidRPr="00C02BFF">
        <w:t xml:space="preserve">on </w:t>
      </w:r>
      <w:r w:rsidR="00581908" w:rsidRPr="00C02BFF">
        <w:t>limited</w:t>
      </w:r>
      <w:r w:rsidR="005C5B24" w:rsidRPr="00C02BFF">
        <w:t xml:space="preserve"> resources.</w:t>
      </w:r>
      <w:r w:rsidR="00321C75">
        <w:t xml:space="preserve"> </w:t>
      </w:r>
      <w:r w:rsidR="005C5B24" w:rsidRPr="00C02BFF">
        <w:t xml:space="preserve">In its </w:t>
      </w:r>
      <w:r w:rsidR="00581908" w:rsidRPr="00C02BFF">
        <w:t>S</w:t>
      </w:r>
      <w:r w:rsidR="005C5B24" w:rsidRPr="00C02BFF">
        <w:t xml:space="preserve">ubmission on </w:t>
      </w:r>
      <w:r w:rsidR="00581908" w:rsidRPr="00C02BFF">
        <w:t>(</w:t>
      </w:r>
      <w:r w:rsidR="005C5B24" w:rsidRPr="00C02BFF">
        <w:t>what was</w:t>
      </w:r>
      <w:r w:rsidR="00581908" w:rsidRPr="00C02BFF">
        <w:t>)</w:t>
      </w:r>
      <w:r w:rsidR="005C5B24" w:rsidRPr="00C02BFF">
        <w:t xml:space="preserve"> the Consumer Rights Bill 2013, the Office of Fair Trading </w:t>
      </w:r>
      <w:r w:rsidR="00507763" w:rsidRPr="00C02BFF">
        <w:t xml:space="preserve">candidly </w:t>
      </w:r>
      <w:r w:rsidR="005C5B24" w:rsidRPr="00C02BFF">
        <w:t>acknowledged that “public enforcement cannot deal with all breaches”.</w:t>
      </w:r>
      <w:r w:rsidR="00581908" w:rsidRPr="00C02BFF">
        <w:t xml:space="preserve"> The C</w:t>
      </w:r>
      <w:r w:rsidR="000A63B0" w:rsidRPr="00C02BFF">
        <w:t xml:space="preserve">ivil </w:t>
      </w:r>
      <w:r w:rsidR="00581908" w:rsidRPr="00C02BFF">
        <w:t>J</w:t>
      </w:r>
      <w:r w:rsidR="000A63B0" w:rsidRPr="00C02BFF">
        <w:t xml:space="preserve">ustice </w:t>
      </w:r>
      <w:r w:rsidR="00581908" w:rsidRPr="00C02BFF">
        <w:t>C</w:t>
      </w:r>
      <w:r w:rsidR="000A63B0" w:rsidRPr="00C02BFF">
        <w:t>ouncil</w:t>
      </w:r>
      <w:r w:rsidR="00581908" w:rsidRPr="00C02BFF">
        <w:t xml:space="preserve"> </w:t>
      </w:r>
      <w:r w:rsidR="000A63B0" w:rsidRPr="00C02BFF">
        <w:t xml:space="preserve">has </w:t>
      </w:r>
      <w:r w:rsidR="00581908" w:rsidRPr="00C02BFF">
        <w:t>similarly commented that “Ombudsmen and Regulatory Systems are not primarily suited to resolve the very wide range of detriment that can give rise to the need for large scale remedial action.</w:t>
      </w:r>
      <w:r w:rsidR="00507763" w:rsidRPr="00C02BFF">
        <w:t>”</w:t>
      </w:r>
      <w:r w:rsidR="000A63B0" w:rsidRPr="00C02BFF">
        <w:t xml:space="preserve"> In a wide-ranging review of international approaches, the Australian Law Reform Commission </w:t>
      </w:r>
      <w:r w:rsidR="00507763" w:rsidRPr="00C02BFF">
        <w:t xml:space="preserve">therefore </w:t>
      </w:r>
      <w:r w:rsidR="000A63B0" w:rsidRPr="00C02BFF">
        <w:t>concluded that a combination of private enforcement and public regulation was the most effective regulatory tool.</w:t>
      </w:r>
      <w:r w:rsidR="000A63B0" w:rsidRPr="00C02BFF">
        <w:rPr>
          <w:rStyle w:val="FootnoteReference"/>
        </w:rPr>
        <w:footnoteReference w:id="2"/>
      </w:r>
    </w:p>
    <w:p w14:paraId="12E4FDCB" w14:textId="136CD4AD" w:rsidR="00653AD3" w:rsidRPr="00C02BFF" w:rsidRDefault="00653AD3" w:rsidP="00C02BFF">
      <w:pPr>
        <w:pStyle w:val="Heading1"/>
        <w:numPr>
          <w:ilvl w:val="0"/>
          <w:numId w:val="1"/>
        </w:numPr>
        <w:rPr>
          <w:rFonts w:cs="Times New Roman"/>
          <w:szCs w:val="24"/>
        </w:rPr>
      </w:pPr>
      <w:r w:rsidRPr="00C02BFF">
        <w:rPr>
          <w:rFonts w:cs="Times New Roman"/>
          <w:szCs w:val="24"/>
        </w:rPr>
        <w:lastRenderedPageBreak/>
        <w:t xml:space="preserve">The </w:t>
      </w:r>
      <w:r w:rsidR="00305AA4" w:rsidRPr="00C02BFF">
        <w:rPr>
          <w:rFonts w:cs="Times New Roman"/>
          <w:szCs w:val="24"/>
        </w:rPr>
        <w:t>current</w:t>
      </w:r>
      <w:r w:rsidRPr="00C02BFF">
        <w:rPr>
          <w:rFonts w:cs="Times New Roman"/>
          <w:szCs w:val="24"/>
        </w:rPr>
        <w:t xml:space="preserve"> system does not meet these aims</w:t>
      </w:r>
    </w:p>
    <w:p w14:paraId="75E91F86" w14:textId="5C67AF77" w:rsidR="00653AD3" w:rsidRPr="00C02BFF" w:rsidRDefault="00305AA4" w:rsidP="00C02BFF">
      <w:pPr>
        <w:pStyle w:val="Heading2"/>
        <w:spacing w:before="240" w:after="240"/>
        <w:rPr>
          <w:rFonts w:cs="Times New Roman"/>
          <w:szCs w:val="24"/>
        </w:rPr>
      </w:pPr>
      <w:r w:rsidRPr="00C02BFF">
        <w:rPr>
          <w:rFonts w:cs="Times New Roman"/>
          <w:szCs w:val="24"/>
        </w:rPr>
        <w:t>The</w:t>
      </w:r>
      <w:r w:rsidR="0083430E" w:rsidRPr="00C02BFF">
        <w:rPr>
          <w:rFonts w:cs="Times New Roman"/>
          <w:szCs w:val="24"/>
        </w:rPr>
        <w:t xml:space="preserve"> “</w:t>
      </w:r>
      <w:r w:rsidR="00653AD3" w:rsidRPr="00C02BFF">
        <w:rPr>
          <w:rFonts w:cs="Times New Roman"/>
          <w:szCs w:val="24"/>
        </w:rPr>
        <w:t>traditional</w:t>
      </w:r>
      <w:r w:rsidR="0083430E" w:rsidRPr="00C02BFF">
        <w:rPr>
          <w:rFonts w:cs="Times New Roman"/>
          <w:szCs w:val="24"/>
        </w:rPr>
        <w:t>”</w:t>
      </w:r>
      <w:r w:rsidR="00653AD3" w:rsidRPr="00C02BFF">
        <w:rPr>
          <w:rFonts w:cs="Times New Roman"/>
          <w:szCs w:val="24"/>
        </w:rPr>
        <w:t xml:space="preserve"> means of managing large-scale litigation</w:t>
      </w:r>
      <w:r w:rsidRPr="00C02BFF">
        <w:rPr>
          <w:rFonts w:cs="Times New Roman"/>
          <w:szCs w:val="24"/>
        </w:rPr>
        <w:t xml:space="preserve"> </w:t>
      </w:r>
      <w:r w:rsidR="00430E08" w:rsidRPr="00C02BFF">
        <w:rPr>
          <w:rFonts w:cs="Times New Roman"/>
          <w:szCs w:val="24"/>
        </w:rPr>
        <w:t>are acknowledged to be deficient</w:t>
      </w:r>
    </w:p>
    <w:p w14:paraId="02B0AF44" w14:textId="4AEEDBCB" w:rsidR="00452D95" w:rsidRPr="00C02BFF" w:rsidRDefault="0083430E" w:rsidP="00C02BFF">
      <w:pPr>
        <w:ind w:left="0" w:firstLine="0"/>
      </w:pPr>
      <w:r w:rsidRPr="00C02BFF">
        <w:t>T</w:t>
      </w:r>
      <w:r w:rsidR="00EB0CD7" w:rsidRPr="00C02BFF">
        <w:t>he</w:t>
      </w:r>
      <w:r w:rsidR="002216C6" w:rsidRPr="00C02BFF">
        <w:t xml:space="preserve"> flexibility of the English court’s case management powers </w:t>
      </w:r>
      <w:r w:rsidR="00EB0CD7" w:rsidRPr="00C02BFF">
        <w:t>and</w:t>
      </w:r>
      <w:r w:rsidRPr="00C02BFF">
        <w:t xml:space="preserve"> considerable</w:t>
      </w:r>
      <w:r w:rsidR="00EB0CD7" w:rsidRPr="00C02BFF">
        <w:t xml:space="preserve"> judicial creativity have </w:t>
      </w:r>
      <w:r w:rsidR="005A1D48" w:rsidRPr="00C02BFF">
        <w:t xml:space="preserve">historically </w:t>
      </w:r>
      <w:r w:rsidR="00EB0CD7" w:rsidRPr="00C02BFF">
        <w:t xml:space="preserve">been used to great effect to enable the courts to develop practical methods of meeting the challenges posed by large-scale multi-party litigation. </w:t>
      </w:r>
      <w:r w:rsidRPr="00C02BFF">
        <w:t>Two key approaches are:</w:t>
      </w:r>
    </w:p>
    <w:p w14:paraId="6866C212" w14:textId="20ED08E9" w:rsidR="00452D95" w:rsidRPr="00C02BFF" w:rsidRDefault="00452D95" w:rsidP="00C02BFF">
      <w:pPr>
        <w:pStyle w:val="ListParagraph"/>
        <w:numPr>
          <w:ilvl w:val="0"/>
          <w:numId w:val="31"/>
        </w:numPr>
        <w:contextualSpacing w:val="0"/>
      </w:pPr>
      <w:r w:rsidRPr="00C02BFF">
        <w:t>T</w:t>
      </w:r>
      <w:r w:rsidR="00EB0CD7" w:rsidRPr="00C02BFF">
        <w:t>he</w:t>
      </w:r>
      <w:r w:rsidR="00653AD3" w:rsidRPr="00C02BFF">
        <w:t xml:space="preserve"> selection and prosecution of “test cases” involving issues common to a group of cases</w:t>
      </w:r>
      <w:r w:rsidR="0083430E" w:rsidRPr="00C02BFF">
        <w:t xml:space="preserve">, </w:t>
      </w:r>
      <w:r w:rsidR="00653AD3" w:rsidRPr="00C02BFF">
        <w:t>backed by the court’s power to stay the remainder of the claims pending the outcome</w:t>
      </w:r>
      <w:r w:rsidR="00EB0CD7" w:rsidRPr="00C02BFF">
        <w:t xml:space="preserve">; </w:t>
      </w:r>
      <w:r w:rsidRPr="00C02BFF">
        <w:t>and</w:t>
      </w:r>
    </w:p>
    <w:p w14:paraId="26DA3BA5" w14:textId="55B32368" w:rsidR="00653AD3" w:rsidRPr="00C02BFF" w:rsidRDefault="00452D95" w:rsidP="00C02BFF">
      <w:pPr>
        <w:pStyle w:val="ListParagraph"/>
        <w:numPr>
          <w:ilvl w:val="0"/>
          <w:numId w:val="31"/>
        </w:numPr>
        <w:contextualSpacing w:val="0"/>
      </w:pPr>
      <w:r w:rsidRPr="00C02BFF">
        <w:t>O</w:t>
      </w:r>
      <w:r w:rsidR="00653AD3" w:rsidRPr="00C02BFF">
        <w:t>rdinary consolidation of separate proceedings or joinder of large numbers of co-claimants.</w:t>
      </w:r>
      <w:r w:rsidR="00EB0CD7" w:rsidRPr="00C02BFF">
        <w:rPr>
          <w:rStyle w:val="FootnoteReference"/>
        </w:rPr>
        <w:footnoteReference w:id="3"/>
      </w:r>
    </w:p>
    <w:p w14:paraId="44B66D38" w14:textId="4D9ED6D4" w:rsidR="00653AD3" w:rsidRPr="00C02BFF" w:rsidRDefault="00452D95" w:rsidP="00C02BFF">
      <w:pPr>
        <w:ind w:left="0" w:firstLine="0"/>
      </w:pPr>
      <w:r w:rsidRPr="00C02BFF">
        <w:t>However, the</w:t>
      </w:r>
      <w:r w:rsidR="00653AD3" w:rsidRPr="00C02BFF">
        <w:t xml:space="preserve"> unsuitability of the traditional means of managing</w:t>
      </w:r>
      <w:r w:rsidRPr="00C02BFF">
        <w:t xml:space="preserve"> large-scale litigation</w:t>
      </w:r>
      <w:r w:rsidR="00653AD3" w:rsidRPr="00C02BFF">
        <w:t xml:space="preserve"> </w:t>
      </w:r>
      <w:r w:rsidR="00430E08" w:rsidRPr="00C02BFF">
        <w:t>has been apparent</w:t>
      </w:r>
      <w:r w:rsidR="00130ACE" w:rsidRPr="00C02BFF">
        <w:t xml:space="preserve"> </w:t>
      </w:r>
      <w:r w:rsidR="00430E08" w:rsidRPr="00C02BFF">
        <w:t>since</w:t>
      </w:r>
      <w:r w:rsidR="00653AD3" w:rsidRPr="00C02BFF">
        <w:t xml:space="preserve"> </w:t>
      </w:r>
      <w:r w:rsidR="00130ACE" w:rsidRPr="00C02BFF">
        <w:t xml:space="preserve">the </w:t>
      </w:r>
      <w:r w:rsidR="00653AD3" w:rsidRPr="00C02BFF">
        <w:t>1980s and 1990s</w:t>
      </w:r>
      <w:r w:rsidR="00430E08" w:rsidRPr="00C02BFF">
        <w:t xml:space="preserve">, when </w:t>
      </w:r>
      <w:r w:rsidR="00653AD3" w:rsidRPr="00C02BFF">
        <w:t xml:space="preserve">the courts </w:t>
      </w:r>
      <w:r w:rsidR="00430E08" w:rsidRPr="00C02BFF">
        <w:t>were required to deal</w:t>
      </w:r>
      <w:r w:rsidR="00653AD3" w:rsidRPr="00C02BFF">
        <w:t xml:space="preserve"> with</w:t>
      </w:r>
      <w:r w:rsidR="00430E08" w:rsidRPr="00C02BFF">
        <w:t xml:space="preserve"> a sequence of</w:t>
      </w:r>
      <w:r w:rsidR="00653AD3" w:rsidRPr="00C02BFF">
        <w:t xml:space="preserve"> </w:t>
      </w:r>
      <w:r w:rsidR="00EB0CD7" w:rsidRPr="00C02BFF">
        <w:t>cases</w:t>
      </w:r>
      <w:r w:rsidR="00653AD3" w:rsidRPr="00C02BFF">
        <w:t xml:space="preserve"> arising from transport and product liability disasters</w:t>
      </w:r>
      <w:r w:rsidR="00EB0CD7" w:rsidRPr="00C02BFF">
        <w:t xml:space="preserve">. </w:t>
      </w:r>
      <w:r w:rsidR="00653AD3" w:rsidRPr="00C02BFF">
        <w:t xml:space="preserve">In </w:t>
      </w:r>
      <w:r w:rsidR="00653AD3" w:rsidRPr="00C02BFF">
        <w:rPr>
          <w:i/>
          <w:iCs/>
        </w:rPr>
        <w:t>Nash v Eli Lilly &amp; Co</w:t>
      </w:r>
      <w:r w:rsidR="00653AD3" w:rsidRPr="00C02BFF">
        <w:t xml:space="preserve"> [1993] 1 WLR 782, at 810, Purchas LJ specifically</w:t>
      </w:r>
      <w:r w:rsidRPr="00C02BFF">
        <w:t xml:space="preserve"> </w:t>
      </w:r>
      <w:r w:rsidR="00430E08" w:rsidRPr="00C02BFF">
        <w:t>called</w:t>
      </w:r>
      <w:r w:rsidR="00130ACE" w:rsidRPr="00C02BFF">
        <w:t xml:space="preserve"> for legislative intervention</w:t>
      </w:r>
      <w:r w:rsidR="00EB0CD7" w:rsidRPr="00C02BFF">
        <w:t xml:space="preserve">. </w:t>
      </w:r>
      <w:r w:rsidR="00C0697A" w:rsidRPr="00C02BFF">
        <w:t>In his</w:t>
      </w:r>
      <w:r w:rsidR="00130ACE" w:rsidRPr="00C02BFF">
        <w:t xml:space="preserve"> Final Report, </w:t>
      </w:r>
      <w:r w:rsidR="00653AD3" w:rsidRPr="00C02BFF">
        <w:t>Lord Woolf acknowledged that the</w:t>
      </w:r>
      <w:r w:rsidR="00130ACE" w:rsidRPr="00C02BFF">
        <w:t xml:space="preserve"> overwhelming view among judges, practitioners, and consumer representatives </w:t>
      </w:r>
      <w:r w:rsidR="001963DE">
        <w:t>was</w:t>
      </w:r>
      <w:r w:rsidR="00130ACE" w:rsidRPr="00C02BFF">
        <w:t xml:space="preserve"> that the</w:t>
      </w:r>
      <w:r w:rsidR="00653AD3" w:rsidRPr="00C02BFF">
        <w:t xml:space="preserve"> </w:t>
      </w:r>
      <w:r w:rsidRPr="00C02BFF">
        <w:t>conventional mechanisms</w:t>
      </w:r>
      <w:r w:rsidR="00130ACE" w:rsidRPr="00C02BFF">
        <w:t xml:space="preserve"> were too unwieldy and costly to </w:t>
      </w:r>
      <w:r w:rsidR="00430E08" w:rsidRPr="00C02BFF">
        <w:t xml:space="preserve">satisfy </w:t>
      </w:r>
      <w:r w:rsidR="00483144" w:rsidRPr="00C02BFF">
        <w:t>the</w:t>
      </w:r>
      <w:r w:rsidR="00430E08" w:rsidRPr="00C02BFF">
        <w:t xml:space="preserve"> aim of</w:t>
      </w:r>
      <w:r w:rsidR="00130ACE" w:rsidRPr="00C02BFF">
        <w:t xml:space="preserve"> effective and efficient access to justice</w:t>
      </w:r>
      <w:r w:rsidR="00653AD3" w:rsidRPr="00C02BFF">
        <w:t>.</w:t>
      </w:r>
    </w:p>
    <w:p w14:paraId="2588C713" w14:textId="3A5FB6EB" w:rsidR="00653AD3" w:rsidRPr="00C02BFF" w:rsidRDefault="00EE28B5" w:rsidP="00C02BFF">
      <w:pPr>
        <w:pStyle w:val="Heading2"/>
        <w:spacing w:before="240" w:after="240"/>
        <w:rPr>
          <w:rFonts w:cs="Times New Roman"/>
          <w:szCs w:val="24"/>
        </w:rPr>
      </w:pPr>
      <w:r w:rsidRPr="00C02BFF">
        <w:rPr>
          <w:rFonts w:cs="Times New Roman"/>
          <w:szCs w:val="24"/>
        </w:rPr>
        <w:t xml:space="preserve">The </w:t>
      </w:r>
      <w:r w:rsidR="00653AD3" w:rsidRPr="00C02BFF">
        <w:rPr>
          <w:rFonts w:cs="Times New Roman"/>
          <w:szCs w:val="24"/>
        </w:rPr>
        <w:t>Group Litigation Order</w:t>
      </w:r>
      <w:r w:rsidRPr="00C02BFF">
        <w:rPr>
          <w:rFonts w:cs="Times New Roman"/>
          <w:szCs w:val="24"/>
        </w:rPr>
        <w:t xml:space="preserve"> regime does not meet Lord Woolf’s objective</w:t>
      </w:r>
      <w:r w:rsidR="00706F7B" w:rsidRPr="00C02BFF">
        <w:rPr>
          <w:rFonts w:cs="Times New Roman"/>
          <w:szCs w:val="24"/>
        </w:rPr>
        <w:t>s</w:t>
      </w:r>
    </w:p>
    <w:p w14:paraId="4BA54C61" w14:textId="3F65139E" w:rsidR="00EE28B5" w:rsidRPr="00C02BFF" w:rsidRDefault="00046873" w:rsidP="00C02BFF">
      <w:pPr>
        <w:ind w:left="0" w:firstLine="0"/>
      </w:pPr>
      <w:r w:rsidRPr="00C02BFF">
        <w:t xml:space="preserve">The </w:t>
      </w:r>
      <w:r w:rsidR="000C68B0" w:rsidRPr="00C02BFF">
        <w:t>“</w:t>
      </w:r>
      <w:r w:rsidRPr="00C02BFF">
        <w:t>Group Litigation Order</w:t>
      </w:r>
      <w:r w:rsidR="000C68B0" w:rsidRPr="00C02BFF">
        <w:t>” (“GLO”)</w:t>
      </w:r>
      <w:r w:rsidRPr="00C02BFF">
        <w:t xml:space="preserve"> regime was introduced into CPR </w:t>
      </w:r>
      <w:r w:rsidR="000D6BC5" w:rsidRPr="00C02BFF">
        <w:t xml:space="preserve">Part </w:t>
      </w:r>
      <w:r w:rsidRPr="00C02BFF">
        <w:t>19 following the recommendations of Lord Woolf’s Final Report</w:t>
      </w:r>
      <w:r w:rsidR="00D20B0B" w:rsidRPr="00C02BFF">
        <w:t>.</w:t>
      </w:r>
      <w:r w:rsidR="00E41693" w:rsidRPr="00C02BFF">
        <w:t xml:space="preserve"> </w:t>
      </w:r>
      <w:r w:rsidR="00A10536" w:rsidRPr="00C02BFF">
        <w:t xml:space="preserve">Efficiency is </w:t>
      </w:r>
      <w:r w:rsidR="00A706BC">
        <w:t>advanced</w:t>
      </w:r>
      <w:r w:rsidR="004B5AFE" w:rsidRPr="00C02BFF">
        <w:t xml:space="preserve"> by selecting a</w:t>
      </w:r>
      <w:r w:rsidR="00E41693" w:rsidRPr="00C02BFF">
        <w:t xml:space="preserve"> single “management court” </w:t>
      </w:r>
      <w:r w:rsidR="004B5AFE" w:rsidRPr="00C02BFF">
        <w:t>to make binding orders in respect of</w:t>
      </w:r>
      <w:r w:rsidR="00E41693" w:rsidRPr="00C02BFF">
        <w:t xml:space="preserve"> </w:t>
      </w:r>
      <w:r w:rsidR="004B5AFE" w:rsidRPr="00C02BFF">
        <w:t>all</w:t>
      </w:r>
      <w:r w:rsidR="00E41693" w:rsidRPr="00C02BFF">
        <w:t xml:space="preserve"> claims </w:t>
      </w:r>
      <w:r w:rsidR="00E16E6A" w:rsidRPr="00C02BFF">
        <w:t>covered by the GLO</w:t>
      </w:r>
      <w:r w:rsidR="00FA7748" w:rsidRPr="00C02BFF">
        <w:t xml:space="preserve">. The court is </w:t>
      </w:r>
      <w:r w:rsidR="008519AD" w:rsidRPr="00C02BFF">
        <w:t>empowered</w:t>
      </w:r>
      <w:r w:rsidR="00FA7748" w:rsidRPr="00C02BFF">
        <w:t xml:space="preserve"> to deal with generic issues </w:t>
      </w:r>
      <w:r w:rsidR="006B6D4B" w:rsidRPr="00C02BFF">
        <w:t>by selecting test claims</w:t>
      </w:r>
      <w:r w:rsidR="00E16E6A" w:rsidRPr="00C02BFF">
        <w:t>.</w:t>
      </w:r>
      <w:r w:rsidR="006646AE" w:rsidRPr="00C02BFF">
        <w:t xml:space="preserve"> </w:t>
      </w:r>
      <w:r w:rsidR="004F1107" w:rsidRPr="00C02BFF">
        <w:t>The</w:t>
      </w:r>
      <w:r w:rsidRPr="00C02BFF">
        <w:t xml:space="preserve"> central feature of the regime is the need for registration of individual claimants</w:t>
      </w:r>
      <w:r w:rsidR="00A706BC">
        <w:t>: t</w:t>
      </w:r>
      <w:r w:rsidRPr="00C02BFF">
        <w:t>he effect is to enshrine an “opt-in” approach.</w:t>
      </w:r>
    </w:p>
    <w:p w14:paraId="48D94AD5" w14:textId="58189D08" w:rsidR="00223ED2" w:rsidRPr="00C02BFF" w:rsidRDefault="008B5008" w:rsidP="00C02BFF">
      <w:pPr>
        <w:ind w:left="0" w:firstLine="0"/>
      </w:pPr>
      <w:r w:rsidRPr="00C02BFF">
        <w:lastRenderedPageBreak/>
        <w:t>The main</w:t>
      </w:r>
      <w:r w:rsidR="00AB4789" w:rsidRPr="00C02BFF">
        <w:t xml:space="preserve"> problem with the </w:t>
      </w:r>
      <w:r w:rsidR="00ED0AF6" w:rsidRPr="00C02BFF">
        <w:t>GLO</w:t>
      </w:r>
      <w:r w:rsidR="00AB4789" w:rsidRPr="00C02BFF">
        <w:t xml:space="preserve"> regime is </w:t>
      </w:r>
      <w:r w:rsidR="00E91B06" w:rsidRPr="00C02BFF">
        <w:t>that it</w:t>
      </w:r>
      <w:r w:rsidR="00AB4789" w:rsidRPr="00C02BFF">
        <w:t xml:space="preserve"> suffers from participation problems. </w:t>
      </w:r>
      <w:r w:rsidRPr="00C02BFF">
        <w:t>I</w:t>
      </w:r>
      <w:r w:rsidR="00E91B06" w:rsidRPr="00C02BFF">
        <w:t>n</w:t>
      </w:r>
      <w:r w:rsidR="00AB4789" w:rsidRPr="00C02BFF">
        <w:t xml:space="preserve"> the </w:t>
      </w:r>
      <w:r w:rsidR="00AB4789" w:rsidRPr="00C02BFF">
        <w:rPr>
          <w:i/>
          <w:iCs/>
        </w:rPr>
        <w:t>Wm Morrison Supermarkets Plc v Various Claimants</w:t>
      </w:r>
      <w:r w:rsidR="00AB4789" w:rsidRPr="00C02BFF">
        <w:t xml:space="preserve"> litigation (currently being heard by the Supreme Court)</w:t>
      </w:r>
      <w:r w:rsidR="00D727F2" w:rsidRPr="00C02BFF">
        <w:t>, for example</w:t>
      </w:r>
      <w:r w:rsidR="00AB4789" w:rsidRPr="00C02BFF">
        <w:t>, only 5% of the 100,000 employees affected by the relevant data breach chose to participate in the claim.</w:t>
      </w:r>
      <w:r w:rsidR="00223ED2" w:rsidRPr="00C02BFF">
        <w:t xml:space="preserve"> </w:t>
      </w:r>
      <w:r w:rsidR="00EE28B5" w:rsidRPr="00C02BFF">
        <w:t>This</w:t>
      </w:r>
      <w:r w:rsidR="00AB4789" w:rsidRPr="00C02BFF">
        <w:t xml:space="preserve"> problem</w:t>
      </w:r>
      <w:r w:rsidR="00EE28B5" w:rsidRPr="00C02BFF">
        <w:t xml:space="preserve"> is not</w:t>
      </w:r>
      <w:r w:rsidR="00AB4789" w:rsidRPr="00C02BFF">
        <w:t xml:space="preserve"> limited to the formal </w:t>
      </w:r>
      <w:r w:rsidR="00ED0AF6" w:rsidRPr="00C02BFF">
        <w:t>GLO</w:t>
      </w:r>
      <w:r w:rsidR="00AB4789" w:rsidRPr="00C02BFF">
        <w:t xml:space="preserve"> system</w:t>
      </w:r>
      <w:r w:rsidR="00EE28B5" w:rsidRPr="00C02BFF">
        <w:t>: it is true of all opt-in mechanism</w:t>
      </w:r>
      <w:r w:rsidR="00E91B06" w:rsidRPr="00C02BFF">
        <w:t>s</w:t>
      </w:r>
      <w:r w:rsidR="00EE28B5" w:rsidRPr="00C02BFF">
        <w:t>.</w:t>
      </w:r>
      <w:r w:rsidR="00AB4789" w:rsidRPr="00C02BFF">
        <w:t xml:space="preserve"> </w:t>
      </w:r>
      <w:r w:rsidR="00EC1E4E" w:rsidRPr="00C02BFF">
        <w:t>S</w:t>
      </w:r>
      <w:r w:rsidR="00E91B06" w:rsidRPr="00C02BFF">
        <w:t xml:space="preserve">tudies </w:t>
      </w:r>
      <w:r w:rsidR="00EC1E4E" w:rsidRPr="00C02BFF">
        <w:t>show</w:t>
      </w:r>
      <w:r w:rsidR="00E91B06" w:rsidRPr="00C02BFF">
        <w:t xml:space="preserve"> that </w:t>
      </w:r>
      <w:r w:rsidR="00AB4789" w:rsidRPr="00C02BFF">
        <w:t xml:space="preserve">ad hoc opt-in actions </w:t>
      </w:r>
      <w:r w:rsidR="00A03BE1" w:rsidRPr="00C02BFF">
        <w:t>(</w:t>
      </w:r>
      <w:r w:rsidR="00AB4789" w:rsidRPr="00C02BFF">
        <w:t>by agreement between the parties and the judge, as occurred in several cases prior to the GLO’s introduction</w:t>
      </w:r>
      <w:r w:rsidR="00A03BE1" w:rsidRPr="00C02BFF">
        <w:t>)</w:t>
      </w:r>
      <w:r w:rsidR="00AB4789" w:rsidRPr="00C02BFF">
        <w:t xml:space="preserve"> were similarly characterised by low levels of participation.</w:t>
      </w:r>
      <w:r w:rsidR="00AB4789" w:rsidRPr="00C02BFF">
        <w:rPr>
          <w:rStyle w:val="FootnoteReference"/>
        </w:rPr>
        <w:footnoteReference w:id="4"/>
      </w:r>
    </w:p>
    <w:p w14:paraId="68AA25EB" w14:textId="4E7F61E6" w:rsidR="005A1D48" w:rsidRPr="00C02BFF" w:rsidRDefault="00A03BE1" w:rsidP="00C02BFF">
      <w:pPr>
        <w:ind w:left="0" w:firstLine="0"/>
      </w:pPr>
      <w:r w:rsidRPr="00C02BFF">
        <w:t xml:space="preserve">The reasons for these failures of participation </w:t>
      </w:r>
      <w:r w:rsidR="00E91B06" w:rsidRPr="00C02BFF">
        <w:t>are diverse.</w:t>
      </w:r>
      <w:r w:rsidR="00223ED2" w:rsidRPr="00C02BFF">
        <w:t xml:space="preserve"> Commentators speculate on practical difficulties (associated with identifying and notifying potential class members), economic </w:t>
      </w:r>
      <w:r w:rsidR="00D57711" w:rsidRPr="00C02BFF">
        <w:t>reasons</w:t>
      </w:r>
      <w:r w:rsidR="00223ED2" w:rsidRPr="00C02BFF">
        <w:t>, physical restrictions, psychology, and simple</w:t>
      </w:r>
      <w:r w:rsidR="00E91B06" w:rsidRPr="00C02BFF">
        <w:t xml:space="preserve"> </w:t>
      </w:r>
      <w:r w:rsidR="00B119E7" w:rsidRPr="00C02BFF">
        <w:t>lack of understanding</w:t>
      </w:r>
      <w:r w:rsidRPr="00C02BFF">
        <w:t xml:space="preserve"> of the legal process.</w:t>
      </w:r>
      <w:r w:rsidR="00223ED2" w:rsidRPr="00C02BFF">
        <w:t xml:space="preserve"> </w:t>
      </w:r>
      <w:r w:rsidR="00D57711" w:rsidRPr="00C02BFF">
        <w:t>T</w:t>
      </w:r>
      <w:r w:rsidR="005E2AAE" w:rsidRPr="00C02BFF">
        <w:t>he</w:t>
      </w:r>
      <w:r w:rsidR="00D215BA" w:rsidRPr="00C02BFF">
        <w:t xml:space="preserve"> effect is</w:t>
      </w:r>
      <w:r w:rsidR="005E2AAE" w:rsidRPr="00C02BFF">
        <w:t xml:space="preserve"> substantially</w:t>
      </w:r>
      <w:r w:rsidR="00223ED2" w:rsidRPr="00C02BFF">
        <w:t xml:space="preserve"> </w:t>
      </w:r>
      <w:r w:rsidR="00D215BA" w:rsidRPr="00C02BFF">
        <w:t>to</w:t>
      </w:r>
      <w:r w:rsidR="00223ED2" w:rsidRPr="00C02BFF">
        <w:t xml:space="preserve"> undermine</w:t>
      </w:r>
      <w:r w:rsidR="00B119E7" w:rsidRPr="00C02BFF">
        <w:t xml:space="preserve"> the GLO’s capacity to meet</w:t>
      </w:r>
      <w:r w:rsidR="00223ED2" w:rsidRPr="00C02BFF">
        <w:t xml:space="preserve"> Lord Woolf’s first objective of </w:t>
      </w:r>
      <w:r w:rsidR="006B7A12" w:rsidRPr="00C02BFF">
        <w:t>maximising</w:t>
      </w:r>
      <w:r w:rsidR="00223ED2" w:rsidRPr="00C02BFF">
        <w:t xml:space="preserve"> access to justice</w:t>
      </w:r>
      <w:r w:rsidR="00D215BA" w:rsidRPr="00C02BFF">
        <w:t xml:space="preserve">. This </w:t>
      </w:r>
      <w:r w:rsidR="00923664" w:rsidRPr="00C02BFF">
        <w:t>decreases</w:t>
      </w:r>
      <w:r w:rsidR="00D215BA" w:rsidRPr="00C02BFF">
        <w:t xml:space="preserve"> </w:t>
      </w:r>
      <w:r w:rsidR="00223ED2" w:rsidRPr="00C02BFF">
        <w:t>the</w:t>
      </w:r>
      <w:r w:rsidR="00D215BA" w:rsidRPr="00C02BFF">
        <w:t xml:space="preserve"> </w:t>
      </w:r>
      <w:r w:rsidR="00026699" w:rsidRPr="00C02BFF">
        <w:t xml:space="preserve">secondary </w:t>
      </w:r>
      <w:r w:rsidR="00223ED2" w:rsidRPr="00C02BFF">
        <w:t xml:space="preserve">value of the </w:t>
      </w:r>
      <w:r w:rsidR="00405B1D" w:rsidRPr="00C02BFF">
        <w:t>GLO</w:t>
      </w:r>
      <w:r w:rsidR="00223ED2" w:rsidRPr="00C02BFF">
        <w:t xml:space="preserve"> as a means of forcing beneficial changes in corporate behaviour and adherence to desirable regulatory standards through collective action.</w:t>
      </w:r>
    </w:p>
    <w:p w14:paraId="27EB04BD" w14:textId="7E2CA7F9" w:rsidR="00653AD3" w:rsidRPr="00C02BFF" w:rsidRDefault="00653AD3" w:rsidP="00C02BFF">
      <w:pPr>
        <w:pStyle w:val="Heading2"/>
        <w:spacing w:before="240" w:after="240"/>
        <w:rPr>
          <w:rFonts w:cs="Times New Roman"/>
          <w:szCs w:val="24"/>
        </w:rPr>
      </w:pPr>
      <w:r w:rsidRPr="00C02BFF">
        <w:rPr>
          <w:rFonts w:cs="Times New Roman"/>
          <w:szCs w:val="24"/>
        </w:rPr>
        <w:t xml:space="preserve">Representative </w:t>
      </w:r>
      <w:r w:rsidR="00923664" w:rsidRPr="00C02BFF">
        <w:rPr>
          <w:rFonts w:cs="Times New Roman"/>
          <w:szCs w:val="24"/>
        </w:rPr>
        <w:t>proceedings</w:t>
      </w:r>
      <w:r w:rsidRPr="00C02BFF">
        <w:rPr>
          <w:rFonts w:cs="Times New Roman"/>
          <w:szCs w:val="24"/>
        </w:rPr>
        <w:t xml:space="preserve"> </w:t>
      </w:r>
      <w:r w:rsidR="007251F7" w:rsidRPr="00C02BFF">
        <w:rPr>
          <w:rFonts w:cs="Times New Roman"/>
          <w:szCs w:val="24"/>
        </w:rPr>
        <w:t>cannot be relied on</w:t>
      </w:r>
      <w:r w:rsidR="00E91B06" w:rsidRPr="00C02BFF">
        <w:rPr>
          <w:rFonts w:cs="Times New Roman"/>
          <w:szCs w:val="24"/>
        </w:rPr>
        <w:t xml:space="preserve"> </w:t>
      </w:r>
      <w:r w:rsidR="007741C7" w:rsidRPr="00C02BFF">
        <w:rPr>
          <w:rFonts w:cs="Times New Roman"/>
          <w:szCs w:val="24"/>
        </w:rPr>
        <w:t>to fill the gap</w:t>
      </w:r>
    </w:p>
    <w:p w14:paraId="5AF7F2A2" w14:textId="18A69F45" w:rsidR="0012614E" w:rsidRPr="00C02BFF" w:rsidRDefault="0012614E" w:rsidP="00C02BFF">
      <w:pPr>
        <w:ind w:left="0" w:firstLine="0"/>
      </w:pPr>
      <w:r w:rsidRPr="00C02BFF">
        <w:t>The</w:t>
      </w:r>
      <w:r w:rsidR="004D6D20" w:rsidRPr="00C02BFF">
        <w:t xml:space="preserve"> English</w:t>
      </w:r>
      <w:r w:rsidRPr="00C02BFF">
        <w:t xml:space="preserve"> representative a</w:t>
      </w:r>
      <w:r w:rsidR="004D6D20" w:rsidRPr="00C02BFF">
        <w:t xml:space="preserve">ction, originally developed in the Court of Chancery </w:t>
      </w:r>
      <w:r w:rsidR="00A94772" w:rsidRPr="00C02BFF">
        <w:t>in the 1800s</w:t>
      </w:r>
      <w:r w:rsidR="00521B4C" w:rsidRPr="00C02BFF">
        <w:t xml:space="preserve"> and now contained in CPR 19.6</w:t>
      </w:r>
      <w:r w:rsidR="00A94772" w:rsidRPr="00C02BFF">
        <w:t xml:space="preserve">, </w:t>
      </w:r>
      <w:r w:rsidR="00521B4C" w:rsidRPr="00C02BFF">
        <w:t>allows</w:t>
      </w:r>
      <w:r w:rsidR="00521B4C" w:rsidRPr="00C02BFF">
        <w:t xml:space="preserve"> </w:t>
      </w:r>
      <w:r w:rsidR="00521B4C" w:rsidRPr="00C02BFF">
        <w:t>a representative</w:t>
      </w:r>
      <w:r w:rsidR="00521B4C" w:rsidRPr="00C02BFF">
        <w:t xml:space="preserve"> claimant </w:t>
      </w:r>
      <w:r w:rsidR="00521B4C" w:rsidRPr="00C02BFF">
        <w:t xml:space="preserve">to </w:t>
      </w:r>
      <w:r w:rsidR="005870BB" w:rsidRPr="00C02BFF">
        <w:t>bring an action on behalf of</w:t>
      </w:r>
      <w:r w:rsidR="00521B4C" w:rsidRPr="00C02BFF">
        <w:t xml:space="preserve"> other persons with </w:t>
      </w:r>
      <w:r w:rsidR="009A0900" w:rsidRPr="00C02BFF">
        <w:t>the “same</w:t>
      </w:r>
      <w:r w:rsidR="00521B4C" w:rsidRPr="00C02BFF">
        <w:t xml:space="preserve"> interest</w:t>
      </w:r>
      <w:r w:rsidR="009A0900" w:rsidRPr="00C02BFF">
        <w:t>”</w:t>
      </w:r>
      <w:r w:rsidR="00521B4C" w:rsidRPr="00C02BFF">
        <w:t xml:space="preserve">. </w:t>
      </w:r>
      <w:r w:rsidR="00514E16" w:rsidRPr="00C02BFF">
        <w:t xml:space="preserve">The </w:t>
      </w:r>
      <w:r w:rsidR="00594D70" w:rsidRPr="00C02BFF">
        <w:t xml:space="preserve">utility of the </w:t>
      </w:r>
      <w:r w:rsidR="00514E16" w:rsidRPr="00C02BFF">
        <w:t>procedure</w:t>
      </w:r>
      <w:r w:rsidR="007125F0" w:rsidRPr="00C02BFF">
        <w:t xml:space="preserve"> as generic form of </w:t>
      </w:r>
      <w:r w:rsidR="00C41EFC" w:rsidRPr="00C02BFF">
        <w:t>class action</w:t>
      </w:r>
      <w:r w:rsidR="00D00479" w:rsidRPr="00C02BFF">
        <w:t xml:space="preserve"> is</w:t>
      </w:r>
      <w:r w:rsidR="007125F0" w:rsidRPr="00C02BFF">
        <w:t xml:space="preserve"> severely</w:t>
      </w:r>
      <w:r w:rsidR="00594D70" w:rsidRPr="00C02BFF">
        <w:t xml:space="preserve"> </w:t>
      </w:r>
      <w:r w:rsidR="00D00479" w:rsidRPr="00C02BFF">
        <w:t xml:space="preserve">limited </w:t>
      </w:r>
      <w:r w:rsidR="00700512" w:rsidRPr="00C02BFF">
        <w:t>by the restrictive approach taken by the courts to the “same interest” requirement.</w:t>
      </w:r>
      <w:r w:rsidR="001A44C8" w:rsidRPr="00C02BFF">
        <w:t xml:space="preserve"> </w:t>
      </w:r>
      <w:r w:rsidR="00B947C9" w:rsidRPr="00C02BFF">
        <w:t>T</w:t>
      </w:r>
      <w:r w:rsidR="001A44C8" w:rsidRPr="00C02BFF">
        <w:t>he</w:t>
      </w:r>
      <w:r w:rsidR="00B947C9" w:rsidRPr="00C02BFF">
        <w:t xml:space="preserve"> failure of the litigation in</w:t>
      </w:r>
      <w:r w:rsidR="00514E16" w:rsidRPr="00C02BFF">
        <w:t xml:space="preserve"> </w:t>
      </w:r>
      <w:r w:rsidR="00DA74A1" w:rsidRPr="00C02BFF">
        <w:rPr>
          <w:i/>
          <w:iCs/>
        </w:rPr>
        <w:t xml:space="preserve">Emerald Supplies Ltd v British Airways </w:t>
      </w:r>
      <w:r w:rsidR="00DA74A1" w:rsidRPr="00C02BFF">
        <w:rPr>
          <w:i/>
          <w:iCs/>
        </w:rPr>
        <w:t>P</w:t>
      </w:r>
      <w:r w:rsidR="00DA74A1" w:rsidRPr="00C02BFF">
        <w:rPr>
          <w:i/>
          <w:iCs/>
        </w:rPr>
        <w:t>lc</w:t>
      </w:r>
      <w:r w:rsidR="00DA74A1" w:rsidRPr="00C02BFF">
        <w:t xml:space="preserve"> [2010] EWCA </w:t>
      </w:r>
      <w:proofErr w:type="spellStart"/>
      <w:r w:rsidR="00DA74A1" w:rsidRPr="00C02BFF">
        <w:t>Civ</w:t>
      </w:r>
      <w:proofErr w:type="spellEnd"/>
      <w:r w:rsidR="00DA74A1" w:rsidRPr="00C02BFF">
        <w:t xml:space="preserve"> 1284</w:t>
      </w:r>
      <w:r w:rsidR="001142AB" w:rsidRPr="00C02BFF">
        <w:t xml:space="preserve"> concerning an </w:t>
      </w:r>
      <w:r w:rsidR="001142AB" w:rsidRPr="00C02BFF">
        <w:t>international price fixing cartel</w:t>
      </w:r>
      <w:r w:rsidR="004570E3" w:rsidRPr="00C02BFF">
        <w:t xml:space="preserve"> on this basis stands in contrast to the recovery by the same Anglo-American law firm</w:t>
      </w:r>
      <w:r w:rsidR="00F2417D">
        <w:t xml:space="preserve"> which was</w:t>
      </w:r>
      <w:r w:rsidR="006703BD" w:rsidRPr="00C02BFF">
        <w:t xml:space="preserve"> unsuccessful</w:t>
      </w:r>
      <w:r w:rsidR="00241667" w:rsidRPr="00C02BFF">
        <w:t xml:space="preserve"> in the English action</w:t>
      </w:r>
      <w:r w:rsidR="00FB7BF7" w:rsidRPr="00C02BFF">
        <w:t xml:space="preserve"> of </w:t>
      </w:r>
      <w:r w:rsidR="00A52034" w:rsidRPr="00C02BFF">
        <w:t xml:space="preserve">damages settlements of </w:t>
      </w:r>
      <w:r w:rsidR="00FB7BF7" w:rsidRPr="00C02BFF">
        <w:t>approximately half a billion dollars in an American class action involving the same defendant.</w:t>
      </w:r>
    </w:p>
    <w:p w14:paraId="41158A5A" w14:textId="1D6559E4" w:rsidR="005331BE" w:rsidRPr="00C02BFF" w:rsidRDefault="00F411D7" w:rsidP="00C02BFF">
      <w:pPr>
        <w:ind w:left="0" w:firstLine="0"/>
      </w:pPr>
      <w:r w:rsidRPr="00C02BFF">
        <w:t xml:space="preserve">Following the Court of Appeal’s recent decision in </w:t>
      </w:r>
      <w:r w:rsidRPr="00C02BFF">
        <w:rPr>
          <w:i/>
          <w:iCs/>
        </w:rPr>
        <w:t>Lloyd v Google LLC</w:t>
      </w:r>
      <w:r w:rsidRPr="00C02BFF">
        <w:t xml:space="preserve"> [2019] EWCA </w:t>
      </w:r>
      <w:proofErr w:type="spellStart"/>
      <w:r w:rsidRPr="00C02BFF">
        <w:t>Civ</w:t>
      </w:r>
      <w:proofErr w:type="spellEnd"/>
      <w:r w:rsidRPr="00C02BFF">
        <w:t xml:space="preserve"> 1599</w:t>
      </w:r>
      <w:r w:rsidRPr="00C02BFF">
        <w:t>, it seems that</w:t>
      </w:r>
      <w:r w:rsidR="00E53540" w:rsidRPr="00C02BFF">
        <w:t xml:space="preserve"> </w:t>
      </w:r>
      <w:r w:rsidR="00575197" w:rsidRPr="00C02BFF">
        <w:t>representative proceedings may have a role to play in cases involving the misuse of private data.</w:t>
      </w:r>
      <w:r w:rsidR="00A33798" w:rsidRPr="00C02BFF">
        <w:t xml:space="preserve"> However, </w:t>
      </w:r>
      <w:r w:rsidRPr="00C02BFF">
        <w:t xml:space="preserve">that decision </w:t>
      </w:r>
      <w:r w:rsidR="00797177" w:rsidRPr="00C02BFF">
        <w:t>was premised on the uniform nature of the claims</w:t>
      </w:r>
      <w:r w:rsidR="005B58E4" w:rsidRPr="00C02BFF">
        <w:t xml:space="preserve"> </w:t>
      </w:r>
      <w:r w:rsidR="0049541D" w:rsidRPr="00C02BFF">
        <w:t>with no room for</w:t>
      </w:r>
      <w:r w:rsidR="005B58E4" w:rsidRPr="00C02BFF">
        <w:t xml:space="preserve"> </w:t>
      </w:r>
      <w:r w:rsidR="0049541D" w:rsidRPr="00C02BFF">
        <w:t xml:space="preserve">consideration of any individual’s </w:t>
      </w:r>
      <w:r w:rsidR="005B58E4" w:rsidRPr="00C02BFF">
        <w:t>personal circumstances</w:t>
      </w:r>
      <w:r w:rsidR="00122840" w:rsidRPr="00C02BFF">
        <w:t xml:space="preserve">: an approach which </w:t>
      </w:r>
      <w:r w:rsidR="005331BE" w:rsidRPr="00C02BFF">
        <w:t xml:space="preserve">“has the effect, of course, of reducing the damages that can be claimed to </w:t>
      </w:r>
      <w:r w:rsidR="005331BE" w:rsidRPr="00C02BFF">
        <w:lastRenderedPageBreak/>
        <w:t>what may be described as the lowest common denominator.”</w:t>
      </w:r>
      <w:r w:rsidR="00122840" w:rsidRPr="00C02BFF">
        <w:t xml:space="preserve"> </w:t>
      </w:r>
      <w:r w:rsidRPr="00C02BFF">
        <w:t>An appeal to the Supreme Court is awaited; in the meantime,</w:t>
      </w:r>
      <w:r w:rsidR="00351321" w:rsidRPr="00C02BFF">
        <w:t xml:space="preserve"> the </w:t>
      </w:r>
      <w:r w:rsidR="00356C8C">
        <w:t xml:space="preserve">broader </w:t>
      </w:r>
      <w:r w:rsidR="00351321" w:rsidRPr="00C02BFF">
        <w:t>utility of this decision outside the context of misuse of data is not obvious</w:t>
      </w:r>
      <w:r w:rsidR="002B2680" w:rsidRPr="00C02BFF">
        <w:t>.</w:t>
      </w:r>
    </w:p>
    <w:p w14:paraId="6841710F" w14:textId="1AA05C98" w:rsidR="00227F68" w:rsidRPr="00C02BFF" w:rsidRDefault="00437AEF" w:rsidP="00C02BFF">
      <w:pPr>
        <w:pStyle w:val="Heading1"/>
        <w:rPr>
          <w:rFonts w:cs="Times New Roman"/>
          <w:szCs w:val="24"/>
        </w:rPr>
      </w:pPr>
      <w:r w:rsidRPr="00C02BFF">
        <w:rPr>
          <w:rFonts w:cs="Times New Roman"/>
          <w:szCs w:val="24"/>
        </w:rPr>
        <w:t>A</w:t>
      </w:r>
      <w:r w:rsidR="00483144" w:rsidRPr="00C02BFF">
        <w:rPr>
          <w:rFonts w:cs="Times New Roman"/>
          <w:szCs w:val="24"/>
        </w:rPr>
        <w:t xml:space="preserve"> generic opt-out class action regime</w:t>
      </w:r>
      <w:r w:rsidR="00FA3251" w:rsidRPr="00C02BFF">
        <w:rPr>
          <w:rFonts w:cs="Times New Roman"/>
          <w:szCs w:val="24"/>
        </w:rPr>
        <w:t xml:space="preserve"> </w:t>
      </w:r>
      <w:r w:rsidR="003C753A" w:rsidRPr="00C02BFF">
        <w:rPr>
          <w:rFonts w:cs="Times New Roman"/>
          <w:szCs w:val="24"/>
        </w:rPr>
        <w:t>will solve this problem</w:t>
      </w:r>
    </w:p>
    <w:p w14:paraId="6C7C5F63" w14:textId="132C2983" w:rsidR="00251CDF" w:rsidRPr="00C02BFF" w:rsidRDefault="00251CDF" w:rsidP="00C02BFF">
      <w:pPr>
        <w:pStyle w:val="Heading2"/>
        <w:spacing w:before="240" w:after="240"/>
        <w:rPr>
          <w:rFonts w:cs="Times New Roman"/>
          <w:szCs w:val="24"/>
        </w:rPr>
      </w:pPr>
      <w:r w:rsidRPr="00C02BFF">
        <w:rPr>
          <w:rFonts w:cs="Times New Roman"/>
          <w:szCs w:val="24"/>
        </w:rPr>
        <w:t xml:space="preserve">The </w:t>
      </w:r>
      <w:r w:rsidR="00483144" w:rsidRPr="00C02BFF">
        <w:rPr>
          <w:rFonts w:cs="Times New Roman"/>
          <w:szCs w:val="24"/>
        </w:rPr>
        <w:t>participation problem is</w:t>
      </w:r>
      <w:r w:rsidRPr="00C02BFF">
        <w:rPr>
          <w:rFonts w:cs="Times New Roman"/>
          <w:szCs w:val="24"/>
        </w:rPr>
        <w:t xml:space="preserve"> </w:t>
      </w:r>
      <w:r w:rsidR="000B0FED" w:rsidRPr="00C02BFF">
        <w:rPr>
          <w:rFonts w:cs="Times New Roman"/>
          <w:szCs w:val="24"/>
        </w:rPr>
        <w:t>resolved in</w:t>
      </w:r>
      <w:r w:rsidRPr="00C02BFF">
        <w:rPr>
          <w:rFonts w:cs="Times New Roman"/>
          <w:szCs w:val="24"/>
        </w:rPr>
        <w:t xml:space="preserve"> </w:t>
      </w:r>
      <w:r w:rsidR="00483144" w:rsidRPr="00C02BFF">
        <w:rPr>
          <w:rFonts w:cs="Times New Roman"/>
          <w:szCs w:val="24"/>
        </w:rPr>
        <w:t xml:space="preserve">an </w:t>
      </w:r>
      <w:r w:rsidRPr="00C02BFF">
        <w:rPr>
          <w:rFonts w:cs="Times New Roman"/>
          <w:szCs w:val="24"/>
        </w:rPr>
        <w:t xml:space="preserve">opt-out </w:t>
      </w:r>
      <w:r w:rsidR="00483144" w:rsidRPr="00C02BFF">
        <w:rPr>
          <w:rFonts w:cs="Times New Roman"/>
          <w:szCs w:val="24"/>
        </w:rPr>
        <w:t>regime</w:t>
      </w:r>
    </w:p>
    <w:p w14:paraId="119FFEF6" w14:textId="61256176" w:rsidR="00501ED4" w:rsidRPr="00C02BFF" w:rsidRDefault="00483144" w:rsidP="00C02BFF">
      <w:pPr>
        <w:ind w:left="0" w:firstLine="0"/>
      </w:pPr>
      <w:r w:rsidRPr="00C02BFF">
        <w:t>By contrast to the low registration numbers in opt-in systems, e</w:t>
      </w:r>
      <w:r w:rsidR="00251CDF" w:rsidRPr="00C02BFF">
        <w:t xml:space="preserve">mpirical data from the </w:t>
      </w:r>
      <w:r w:rsidR="00026699" w:rsidRPr="00C02BFF">
        <w:t>USA</w:t>
      </w:r>
      <w:r w:rsidR="00251CDF" w:rsidRPr="00C02BFF">
        <w:t xml:space="preserve"> and Victoria confirm that the rates of participation under opt-out regimes are very high (at least 87</w:t>
      </w:r>
      <w:r w:rsidR="00026699" w:rsidRPr="00C02BFF">
        <w:t>%</w:t>
      </w:r>
      <w:r w:rsidR="00251CDF" w:rsidRPr="00C02BFF">
        <w:t>)</w:t>
      </w:r>
      <w:r w:rsidR="00026699" w:rsidRPr="00C02BFF">
        <w:t>. W</w:t>
      </w:r>
      <w:r w:rsidR="00251CDF" w:rsidRPr="00C02BFF">
        <w:t>here empirical data does not exist, opt-out rates noted in individual cases indicate that the rates of participation</w:t>
      </w:r>
      <w:r w:rsidR="003338EC" w:rsidRPr="00C02BFF">
        <w:t xml:space="preserve"> </w:t>
      </w:r>
      <w:r w:rsidR="00251CDF" w:rsidRPr="00C02BFF">
        <w:t>exceeded 60</w:t>
      </w:r>
      <w:r w:rsidR="00026699" w:rsidRPr="00C02BFF">
        <w:t>%</w:t>
      </w:r>
      <w:r w:rsidR="00251CDF" w:rsidRPr="00C02BFF">
        <w:t xml:space="preserve"> on the sample of cases selected.</w:t>
      </w:r>
      <w:r w:rsidR="00251CDF" w:rsidRPr="00C02BFF">
        <w:rPr>
          <w:rStyle w:val="FootnoteReference"/>
        </w:rPr>
        <w:footnoteReference w:id="5"/>
      </w:r>
      <w:r w:rsidR="00501ED4" w:rsidRPr="00C02BFF">
        <w:t xml:space="preserve"> The data show that </w:t>
      </w:r>
      <w:r w:rsidR="004653E5" w:rsidRPr="00C02BFF">
        <w:t xml:space="preserve">the </w:t>
      </w:r>
      <w:r w:rsidR="00501ED4" w:rsidRPr="00C02BFF">
        <w:t xml:space="preserve">primary </w:t>
      </w:r>
      <w:r w:rsidR="00F412D4" w:rsidRPr="00C02BFF">
        <w:t xml:space="preserve">objective of </w:t>
      </w:r>
      <w:r w:rsidR="0058727D" w:rsidRPr="00C02BFF">
        <w:t>increasing access to justice for large-scale</w:t>
      </w:r>
      <w:r w:rsidR="004653E5" w:rsidRPr="00C02BFF">
        <w:t xml:space="preserve"> low-value</w:t>
      </w:r>
      <w:r w:rsidR="0058727D" w:rsidRPr="00C02BFF">
        <w:t xml:space="preserve"> claims</w:t>
      </w:r>
      <w:r w:rsidR="009D5463" w:rsidRPr="00C02BFF">
        <w:t xml:space="preserve"> will be met by the introduction of a generic opt-out system.</w:t>
      </w:r>
    </w:p>
    <w:p w14:paraId="47FE8FC2" w14:textId="7102962D" w:rsidR="0094449D" w:rsidRPr="00C02BFF" w:rsidRDefault="00A32A14" w:rsidP="00C02BFF">
      <w:pPr>
        <w:ind w:left="0" w:firstLine="0"/>
      </w:pPr>
      <w:r w:rsidRPr="00C02BFF">
        <w:t>T</w:t>
      </w:r>
      <w:r w:rsidR="00020DF3" w:rsidRPr="00C02BFF">
        <w:t xml:space="preserve">he </w:t>
      </w:r>
      <w:r w:rsidRPr="00C02BFF">
        <w:t>availability</w:t>
      </w:r>
      <w:r w:rsidR="00020DF3" w:rsidRPr="00C02BFF">
        <w:t xml:space="preserve"> of an opt-out mechanism </w:t>
      </w:r>
      <w:r w:rsidRPr="00C02BFF">
        <w:t>is consistent with</w:t>
      </w:r>
      <w:r w:rsidR="00020DF3" w:rsidRPr="00C02BFF">
        <w:t xml:space="preserve"> </w:t>
      </w:r>
      <w:r w:rsidRPr="00C02BFF">
        <w:t>retention of</w:t>
      </w:r>
      <w:r w:rsidR="00020DF3" w:rsidRPr="00C02BFF">
        <w:t xml:space="preserve"> the GLO</w:t>
      </w:r>
      <w:r w:rsidRPr="00C02BFF">
        <w:t xml:space="preserve"> regime</w:t>
      </w:r>
      <w:r w:rsidR="00E841EE">
        <w:t xml:space="preserve"> for use in appropriate cases</w:t>
      </w:r>
      <w:r w:rsidR="0094449D" w:rsidRPr="00C02BFF">
        <w:t>. This reflects the power of the CAT under s. 47B(7)(c) of the Competition Act 1998 to decide whether any collective proceedings will be opt-in or opt-out.</w:t>
      </w:r>
      <w:r w:rsidR="000B706C" w:rsidRPr="00C02BFF">
        <w:t xml:space="preserve"> </w:t>
      </w:r>
      <w:r w:rsidR="00440E9A" w:rsidRPr="00C02BFF">
        <w:t>Such a</w:t>
      </w:r>
      <w:r w:rsidR="000B706C" w:rsidRPr="00C02BFF">
        <w:t xml:space="preserve"> dual system is currently being </w:t>
      </w:r>
      <w:r w:rsidR="00440E9A" w:rsidRPr="00C02BFF">
        <w:t>implemented in</w:t>
      </w:r>
      <w:r w:rsidR="000B706C" w:rsidRPr="00C02BFF">
        <w:t xml:space="preserve"> Scotland in the form of the Civil Litigation (Expenses and Group Proceedings) (Scotland) Act 2018.</w:t>
      </w:r>
    </w:p>
    <w:p w14:paraId="3F8B5CF7" w14:textId="25914010" w:rsidR="00227F68" w:rsidRPr="00C02BFF" w:rsidRDefault="00C45A67" w:rsidP="00C02BFF">
      <w:pPr>
        <w:ind w:left="0" w:firstLine="0"/>
      </w:pPr>
      <w:r w:rsidRPr="00C02BFF">
        <w:t>The major fears associated with the introduction of a generic opt-out class action appear to be (</w:t>
      </w:r>
      <w:proofErr w:type="spellStart"/>
      <w:r w:rsidRPr="00C02BFF">
        <w:t>i</w:t>
      </w:r>
      <w:proofErr w:type="spellEnd"/>
      <w:r w:rsidRPr="00C02BFF">
        <w:t xml:space="preserve">) abuse of the system through an increase in unmeritorious claims and unfair pressure on defendants to settle them and (ii) exploitation of victims by </w:t>
      </w:r>
      <w:r w:rsidR="008239CB" w:rsidRPr="00C02BFF">
        <w:t>the lawyers</w:t>
      </w:r>
      <w:r w:rsidRPr="00C02BFF">
        <w:t xml:space="preserve"> and those funding them.</w:t>
      </w:r>
    </w:p>
    <w:p w14:paraId="623BB75F" w14:textId="7DA5FCA2" w:rsidR="00700C2B" w:rsidRPr="00C02BFF" w:rsidRDefault="00700C2B" w:rsidP="00C02BFF">
      <w:pPr>
        <w:pStyle w:val="Heading2"/>
        <w:spacing w:before="240" w:after="240"/>
        <w:rPr>
          <w:rFonts w:cs="Times New Roman"/>
          <w:szCs w:val="24"/>
        </w:rPr>
      </w:pPr>
      <w:r w:rsidRPr="00C02BFF">
        <w:rPr>
          <w:rFonts w:cs="Times New Roman"/>
          <w:szCs w:val="24"/>
        </w:rPr>
        <w:t>Abuse can be avoided through robust control mechanisms</w:t>
      </w:r>
    </w:p>
    <w:p w14:paraId="0CC799F3" w14:textId="77777777" w:rsidR="002D7FA4" w:rsidRPr="00C02BFF" w:rsidRDefault="00700C2B" w:rsidP="00C02BFF">
      <w:pPr>
        <w:ind w:left="0" w:firstLine="0"/>
      </w:pPr>
      <w:r w:rsidRPr="00C02BFF">
        <w:t>The fears of abuse are motivated by the perceived undesirability of certain features of the American class action system. However, there are some important basic distinctions between the two legal orders that must be taken into account.</w:t>
      </w:r>
    </w:p>
    <w:p w14:paraId="2F4E934A" w14:textId="67DC4244" w:rsidR="002D7FA4" w:rsidRPr="00C02BFF" w:rsidRDefault="00700C2B" w:rsidP="00C02BFF">
      <w:pPr>
        <w:pStyle w:val="ListParagraph"/>
        <w:numPr>
          <w:ilvl w:val="0"/>
          <w:numId w:val="36"/>
        </w:numPr>
        <w:contextualSpacing w:val="0"/>
      </w:pPr>
      <w:r w:rsidRPr="00C02BFF">
        <w:t xml:space="preserve">Unlike the position in the USA, the costs shifting regime in England exposes representative claimants to the risk of adverse costs orders if the litigation fails. This </w:t>
      </w:r>
      <w:r w:rsidR="00DB7D54" w:rsidRPr="00C02BFF">
        <w:t>provides</w:t>
      </w:r>
      <w:r w:rsidR="00066924" w:rsidRPr="00C02BFF">
        <w:t xml:space="preserve"> an obvious</w:t>
      </w:r>
      <w:r w:rsidRPr="00C02BFF">
        <w:t xml:space="preserve"> disincentiv</w:t>
      </w:r>
      <w:r w:rsidR="00066924" w:rsidRPr="00C02BFF">
        <w:t>e to</w:t>
      </w:r>
      <w:r w:rsidRPr="00C02BFF">
        <w:t xml:space="preserve"> the bringing of unmeritorious litigation.</w:t>
      </w:r>
    </w:p>
    <w:p w14:paraId="27F6A0DD" w14:textId="6FF8A11D" w:rsidR="00700C2B" w:rsidRPr="00C02BFF" w:rsidRDefault="002D7FA4" w:rsidP="00C02BFF">
      <w:pPr>
        <w:pStyle w:val="ListParagraph"/>
        <w:numPr>
          <w:ilvl w:val="0"/>
          <w:numId w:val="36"/>
        </w:numPr>
        <w:contextualSpacing w:val="0"/>
      </w:pPr>
      <w:r w:rsidRPr="00C02BFF">
        <w:lastRenderedPageBreak/>
        <w:t>While</w:t>
      </w:r>
      <w:r w:rsidR="00700C2B" w:rsidRPr="00C02BFF">
        <w:t xml:space="preserve"> punitive damages are available in American class actions, s.47C(1) of the Competition Act 1998 provides that exemplary damages are not permitted in collective proceedings in the CAT. </w:t>
      </w:r>
      <w:r w:rsidR="00DB7D54" w:rsidRPr="00C02BFF">
        <w:t>It is submitted that this</w:t>
      </w:r>
      <w:r w:rsidR="00700C2B" w:rsidRPr="00C02BFF">
        <w:t xml:space="preserve"> restriction</w:t>
      </w:r>
      <w:r w:rsidRPr="00C02BFF">
        <w:t xml:space="preserve"> </w:t>
      </w:r>
      <w:r w:rsidR="00066924" w:rsidRPr="00C02BFF">
        <w:t xml:space="preserve">can </w:t>
      </w:r>
      <w:r w:rsidR="00E13613">
        <w:t xml:space="preserve">be </w:t>
      </w:r>
      <w:r w:rsidR="00DB7D54" w:rsidRPr="00C02BFF">
        <w:t>employed more broadly in a generic opt-out regime</w:t>
      </w:r>
      <w:r w:rsidRPr="00C02BFF">
        <w:t xml:space="preserve"> </w:t>
      </w:r>
      <w:r w:rsidR="00C87FBC" w:rsidRPr="00C02BFF">
        <w:t>as a safeguard against abuse.</w:t>
      </w:r>
    </w:p>
    <w:p w14:paraId="1ED1BDE8" w14:textId="7DAF78BF" w:rsidR="00700C2B" w:rsidRPr="00C02BFF" w:rsidRDefault="00961E57" w:rsidP="00C02BFF">
      <w:pPr>
        <w:ind w:left="0" w:firstLine="0"/>
      </w:pPr>
      <w:r w:rsidRPr="00C02BFF">
        <w:t xml:space="preserve">In any event, </w:t>
      </w:r>
      <w:r w:rsidR="00C87FBC" w:rsidRPr="00C02BFF">
        <w:t>the</w:t>
      </w:r>
      <w:r w:rsidR="00700C2B" w:rsidRPr="00C02BFF">
        <w:t xml:space="preserve"> rational response to the fear of abuse is the introduction of measures capable of reducing or preventing it</w:t>
      </w:r>
      <w:r w:rsidR="00C87FBC" w:rsidRPr="00C02BFF">
        <w:t xml:space="preserve"> rather than the removal of a procedure that </w:t>
      </w:r>
      <w:r w:rsidRPr="00C02BFF">
        <w:t>will</w:t>
      </w:r>
      <w:r w:rsidR="00C87FBC" w:rsidRPr="00C02BFF">
        <w:t xml:space="preserve"> allow meritorious claims to proceed</w:t>
      </w:r>
      <w:r w:rsidR="00700C2B" w:rsidRPr="00C02BFF">
        <w:t>.</w:t>
      </w:r>
      <w:r w:rsidRPr="00C02BFF">
        <w:t xml:space="preserve"> </w:t>
      </w:r>
      <w:r w:rsidR="006E741D" w:rsidRPr="00C02BFF">
        <w:t>In addition to the courts</w:t>
      </w:r>
      <w:r w:rsidR="000135BB" w:rsidRPr="00C02BFF">
        <w:t>’</w:t>
      </w:r>
      <w:r w:rsidR="006E741D" w:rsidRPr="00C02BFF">
        <w:t xml:space="preserve"> normal power</w:t>
      </w:r>
      <w:r w:rsidR="000135BB" w:rsidRPr="00C02BFF">
        <w:t>s to strike out or to give summary judgment, a</w:t>
      </w:r>
      <w:r w:rsidR="00700C2B" w:rsidRPr="00C02BFF">
        <w:t xml:space="preserve"> key safeguard </w:t>
      </w:r>
      <w:r w:rsidRPr="00C02BFF">
        <w:t>would be</w:t>
      </w:r>
      <w:r w:rsidR="00700C2B" w:rsidRPr="00C02BFF">
        <w:t xml:space="preserve"> the introduction of a formal certification process</w:t>
      </w:r>
      <w:r w:rsidR="00C87FBC" w:rsidRPr="00C02BFF">
        <w:t xml:space="preserve"> before </w:t>
      </w:r>
      <w:r w:rsidRPr="00C02BFF">
        <w:t>a</w:t>
      </w:r>
      <w:r w:rsidR="00C87FBC" w:rsidRPr="00C02BFF">
        <w:t xml:space="preserve"> class action can proceed</w:t>
      </w:r>
      <w:r w:rsidR="00700C2B" w:rsidRPr="00C02BFF">
        <w:t xml:space="preserve">. </w:t>
      </w:r>
      <w:r w:rsidR="00773FFE" w:rsidRPr="00C02BFF">
        <w:t>This would be analogous to</w:t>
      </w:r>
      <w:r w:rsidR="00700C2B" w:rsidRPr="00C02BFF">
        <w:t xml:space="preserve"> s.47B(6) of the Competition Act 1998, </w:t>
      </w:r>
      <w:r w:rsidR="00773FFE" w:rsidRPr="00C02BFF">
        <w:t xml:space="preserve">under which </w:t>
      </w:r>
      <w:r w:rsidR="00700C2B" w:rsidRPr="00C02BFF">
        <w:t>the CAT must make a “Collective Proceedings Order”</w:t>
      </w:r>
      <w:r w:rsidR="00BC1F96" w:rsidRPr="00C02BFF">
        <w:t xml:space="preserve"> (“CPO”)</w:t>
      </w:r>
      <w:r w:rsidR="00700C2B" w:rsidRPr="00C02BFF">
        <w:t xml:space="preserve"> certifying a group claim before it can proceed. The CAT must consider whether: (</w:t>
      </w:r>
      <w:proofErr w:type="spellStart"/>
      <w:r w:rsidR="00700C2B" w:rsidRPr="00C02BFF">
        <w:t>i</w:t>
      </w:r>
      <w:proofErr w:type="spellEnd"/>
      <w:r w:rsidR="00700C2B" w:rsidRPr="00C02BFF">
        <w:t>) it is “just and reasonable” for the representative to act on behalf of the class; (ii) the claims concern the “same, similar or related” issues of fact or law and are “suitable” to be brought in collective proceedings.</w:t>
      </w:r>
    </w:p>
    <w:p w14:paraId="6F6F3C54" w14:textId="31685BB3" w:rsidR="00700C2B" w:rsidRPr="00C02BFF" w:rsidRDefault="00700C2B" w:rsidP="00C02BFF">
      <w:pPr>
        <w:ind w:left="0" w:firstLine="0"/>
      </w:pPr>
      <w:r w:rsidRPr="00C02BFF">
        <w:t>There is</w:t>
      </w:r>
      <w:r w:rsidR="00760251" w:rsidRPr="00C02BFF">
        <w:t>, however,</w:t>
      </w:r>
      <w:r w:rsidRPr="00C02BFF">
        <w:t xml:space="preserve"> an obvious problem with the </w:t>
      </w:r>
      <w:r w:rsidR="00C87FBC" w:rsidRPr="00C02BFF">
        <w:t xml:space="preserve">way the </w:t>
      </w:r>
      <w:r w:rsidRPr="00C02BFF">
        <w:t>CAT certification process</w:t>
      </w:r>
      <w:r w:rsidR="00C60A73" w:rsidRPr="00C02BFF">
        <w:t xml:space="preserve"> in particular</w:t>
      </w:r>
      <w:r w:rsidR="00C87FBC" w:rsidRPr="00C02BFF">
        <w:t xml:space="preserve"> has been approached to date</w:t>
      </w:r>
      <w:r w:rsidRPr="00C02BFF">
        <w:t xml:space="preserve">, which is that it has been applied so narrowly that not a single class has yet been certified. </w:t>
      </w:r>
      <w:r w:rsidR="00BE3F3F" w:rsidRPr="00C02BFF">
        <w:t>However,</w:t>
      </w:r>
      <w:r w:rsidR="004058A0" w:rsidRPr="00C02BFF">
        <w:t xml:space="preserve"> a</w:t>
      </w:r>
      <w:r w:rsidR="00C87FBC" w:rsidRPr="00C02BFF">
        <w:t xml:space="preserve"> recent decision of the Court of Appeal suggests that the CAT’s approach has been unduly restrictive.</w:t>
      </w:r>
      <w:r w:rsidR="00C87FBC" w:rsidRPr="00C02BFF">
        <w:rPr>
          <w:rStyle w:val="FootnoteReference"/>
        </w:rPr>
        <w:footnoteReference w:id="6"/>
      </w:r>
      <w:r w:rsidR="00C87FBC" w:rsidRPr="00C02BFF">
        <w:t xml:space="preserve"> </w:t>
      </w:r>
      <w:r w:rsidRPr="00C02BFF">
        <w:t>Permission has been granted for leave to appeal to the Supreme Court</w:t>
      </w:r>
      <w:r w:rsidR="00947886" w:rsidRPr="00C02BFF">
        <w:t>; t</w:t>
      </w:r>
      <w:r w:rsidR="00327424" w:rsidRPr="00C02BFF">
        <w:t xml:space="preserve">he Supreme Court’s ruling on this issue will be of central importance to </w:t>
      </w:r>
      <w:r w:rsidR="00CD6462" w:rsidRPr="00C02BFF">
        <w:t>the viability of the CAT’s system of collective redress</w:t>
      </w:r>
      <w:r w:rsidR="0062639A" w:rsidRPr="00C02BFF">
        <w:t>.</w:t>
      </w:r>
    </w:p>
    <w:p w14:paraId="5D3E86A7" w14:textId="014D25C0" w:rsidR="00700C2B" w:rsidRPr="00C02BFF" w:rsidRDefault="00700C2B" w:rsidP="00C02BFF">
      <w:pPr>
        <w:pStyle w:val="Heading2"/>
        <w:spacing w:before="240" w:after="240"/>
        <w:rPr>
          <w:rFonts w:cs="Times New Roman"/>
          <w:szCs w:val="24"/>
        </w:rPr>
      </w:pPr>
      <w:r w:rsidRPr="00C02BFF">
        <w:rPr>
          <w:rFonts w:cs="Times New Roman"/>
          <w:szCs w:val="24"/>
        </w:rPr>
        <w:t>Exploitation</w:t>
      </w:r>
      <w:r w:rsidR="00230DD7" w:rsidRPr="00C02BFF">
        <w:rPr>
          <w:rFonts w:cs="Times New Roman"/>
          <w:szCs w:val="24"/>
        </w:rPr>
        <w:t xml:space="preserve"> of claimants</w:t>
      </w:r>
      <w:r w:rsidRPr="00C02BFF">
        <w:rPr>
          <w:rFonts w:cs="Times New Roman"/>
          <w:szCs w:val="24"/>
        </w:rPr>
        <w:t xml:space="preserve"> can be avoided by court management of settlements</w:t>
      </w:r>
    </w:p>
    <w:p w14:paraId="4965D225" w14:textId="101AD184" w:rsidR="00700C2B" w:rsidRPr="00C02BFF" w:rsidRDefault="00700C2B" w:rsidP="00C02BFF">
      <w:pPr>
        <w:ind w:left="0" w:firstLine="0"/>
      </w:pPr>
      <w:r w:rsidRPr="00C02BFF">
        <w:t>In respect of the fears of exploitation, the most common solution in other jurisdictions has been to give the court extensive powers to ensure that group members’ interests are adequately protected. The CAT regime takes the same approach</w:t>
      </w:r>
      <w:r w:rsidR="00BC1F96" w:rsidRPr="00C02BFF">
        <w:t xml:space="preserve"> in relation to opt-out proceedings in </w:t>
      </w:r>
      <w:r w:rsidR="0002159E">
        <w:t>respect of the</w:t>
      </w:r>
      <w:r w:rsidR="00BC1F96" w:rsidRPr="00C02BFF">
        <w:t xml:space="preserve"> management of settlements.</w:t>
      </w:r>
      <w:r w:rsidRPr="00C02BFF">
        <w:t xml:space="preserve"> </w:t>
      </w:r>
      <w:r w:rsidR="00BC1F96" w:rsidRPr="00C02BFF">
        <w:t>O</w:t>
      </w:r>
      <w:r w:rsidRPr="00C02BFF">
        <w:t xml:space="preserve">nce </w:t>
      </w:r>
      <w:r w:rsidR="00BC1F96" w:rsidRPr="00C02BFF">
        <w:t xml:space="preserve">a </w:t>
      </w:r>
      <w:r w:rsidRPr="00C02BFF">
        <w:t xml:space="preserve">CPO has been made and proceedings are authorised to continue on an opt-out basis, claims </w:t>
      </w:r>
      <w:r w:rsidR="0002159E">
        <w:t>can</w:t>
      </w:r>
      <w:r w:rsidRPr="00C02BFF">
        <w:t xml:space="preserve"> only be settled by way of a collective settlement approved by the CAT. By </w:t>
      </w:r>
      <w:r w:rsidR="00BC1F96" w:rsidRPr="00C02BFF">
        <w:t>s.</w:t>
      </w:r>
      <w:r w:rsidRPr="00C02BFF">
        <w:t xml:space="preserve">49A(5) of the Competition Act 1998, the CAT may only make an order approving the settlement where it deems the terms to be </w:t>
      </w:r>
      <w:r w:rsidRPr="00C02BFF">
        <w:lastRenderedPageBreak/>
        <w:t>“just and reasonable”.</w:t>
      </w:r>
      <w:r w:rsidR="00DD0F30" w:rsidRPr="00C02BFF">
        <w:t xml:space="preserve"> </w:t>
      </w:r>
      <w:r w:rsidR="00BE15D4" w:rsidRPr="00C02BFF">
        <w:t>It is submitted that the</w:t>
      </w:r>
      <w:r w:rsidR="00DD0F30" w:rsidRPr="00C02BFF">
        <w:t xml:space="preserve"> </w:t>
      </w:r>
      <w:r w:rsidR="00230DD7" w:rsidRPr="00C02BFF">
        <w:t xml:space="preserve">court </w:t>
      </w:r>
      <w:r w:rsidR="00E055F0" w:rsidRPr="00C02BFF">
        <w:t xml:space="preserve">can be similarly involved in active management of settlements </w:t>
      </w:r>
      <w:r w:rsidR="00BE15D4" w:rsidRPr="00C02BFF">
        <w:t>reached under</w:t>
      </w:r>
      <w:r w:rsidR="00230DD7" w:rsidRPr="00C02BFF">
        <w:t xml:space="preserve"> a generic opt-out regime.</w:t>
      </w:r>
    </w:p>
    <w:p w14:paraId="33F5A337" w14:textId="5617DE18" w:rsidR="000B0FED" w:rsidRPr="00C02BFF" w:rsidRDefault="000B0FED" w:rsidP="00C02BFF">
      <w:pPr>
        <w:pStyle w:val="Heading2"/>
        <w:spacing w:before="240" w:after="240"/>
        <w:rPr>
          <w:rFonts w:cs="Times New Roman"/>
          <w:szCs w:val="24"/>
        </w:rPr>
      </w:pPr>
      <w:r w:rsidRPr="00C02BFF">
        <w:rPr>
          <w:rFonts w:cs="Times New Roman"/>
          <w:szCs w:val="24"/>
        </w:rPr>
        <w:t>The</w:t>
      </w:r>
      <w:r w:rsidR="00230DD7" w:rsidRPr="00C02BFF">
        <w:rPr>
          <w:rFonts w:cs="Times New Roman"/>
          <w:szCs w:val="24"/>
        </w:rPr>
        <w:t xml:space="preserve">re is no good reason to restrict </w:t>
      </w:r>
      <w:r w:rsidR="0034022E" w:rsidRPr="00C02BFF">
        <w:rPr>
          <w:rFonts w:cs="Times New Roman"/>
          <w:szCs w:val="24"/>
        </w:rPr>
        <w:t>the provision of</w:t>
      </w:r>
      <w:r w:rsidR="00230DD7" w:rsidRPr="00C02BFF">
        <w:rPr>
          <w:rFonts w:cs="Times New Roman"/>
          <w:szCs w:val="24"/>
        </w:rPr>
        <w:t xml:space="preserve"> </w:t>
      </w:r>
      <w:r w:rsidR="0034022E" w:rsidRPr="00C02BFF">
        <w:rPr>
          <w:rFonts w:cs="Times New Roman"/>
          <w:szCs w:val="24"/>
        </w:rPr>
        <w:t xml:space="preserve">an </w:t>
      </w:r>
      <w:r w:rsidR="00230DD7" w:rsidRPr="00C02BFF">
        <w:rPr>
          <w:rFonts w:cs="Times New Roman"/>
          <w:szCs w:val="24"/>
        </w:rPr>
        <w:t>opt-out mechanism</w:t>
      </w:r>
      <w:r w:rsidR="0034022E" w:rsidRPr="00C02BFF">
        <w:rPr>
          <w:rFonts w:cs="Times New Roman"/>
          <w:szCs w:val="24"/>
        </w:rPr>
        <w:t xml:space="preserve"> on a sector-by-sector basis</w:t>
      </w:r>
    </w:p>
    <w:p w14:paraId="2F4A6D9E" w14:textId="40DCA4A6" w:rsidR="000B706C" w:rsidRPr="00C02BFF" w:rsidRDefault="000B706C" w:rsidP="00C02BFF">
      <w:pPr>
        <w:ind w:left="0" w:firstLine="0"/>
      </w:pPr>
      <w:r w:rsidRPr="00C02BFF">
        <w:t>Th</w:t>
      </w:r>
      <w:r w:rsidR="00F9109B" w:rsidRPr="00C02BFF">
        <w:t xml:space="preserve">is essay’s suggestion of the adoption of a generic opt-out regime is not </w:t>
      </w:r>
      <w:r w:rsidR="00527597">
        <w:t>new</w:t>
      </w:r>
      <w:r w:rsidR="00F9109B" w:rsidRPr="00C02BFF">
        <w:t>: the</w:t>
      </w:r>
      <w:r w:rsidRPr="00C02BFF">
        <w:t xml:space="preserve"> CJC </w:t>
      </w:r>
      <w:r w:rsidR="00F9109B" w:rsidRPr="00C02BFF">
        <w:t xml:space="preserve">recommended it </w:t>
      </w:r>
      <w:r w:rsidRPr="00C02BFF">
        <w:t xml:space="preserve">in a major 2008 </w:t>
      </w:r>
      <w:r w:rsidR="00F9109B" w:rsidRPr="00C02BFF">
        <w:t>report</w:t>
      </w:r>
      <w:r w:rsidRPr="00C02BFF">
        <w:t xml:space="preserve"> entitled “Improving Access to Justice Through Collective Actions”. </w:t>
      </w:r>
      <w:r w:rsidR="00F9109B" w:rsidRPr="00C02BFF">
        <w:t>The</w:t>
      </w:r>
      <w:r w:rsidRPr="00C02BFF">
        <w:t xml:space="preserve"> recommendation was rejected by the Government, which preferred a system of sector-by-sector reform (ultimately culminating in the CAT’s collective procedure).</w:t>
      </w:r>
    </w:p>
    <w:p w14:paraId="5C635402" w14:textId="39467DEC" w:rsidR="009055A5" w:rsidRPr="00C02BFF" w:rsidRDefault="000940C0" w:rsidP="00C02BFF">
      <w:pPr>
        <w:ind w:left="0" w:firstLine="0"/>
      </w:pPr>
      <w:r w:rsidRPr="00C02BFF">
        <w:t>The</w:t>
      </w:r>
      <w:r w:rsidR="000B0FED" w:rsidRPr="00C02BFF">
        <w:t xml:space="preserve"> Government gave two reasons for preferring sector-by-sector reform to the introduction of a generic opt-out regime.</w:t>
      </w:r>
    </w:p>
    <w:p w14:paraId="15884AE8" w14:textId="77777777" w:rsidR="009055A5" w:rsidRPr="00C02BFF" w:rsidRDefault="000B0FED" w:rsidP="00C02BFF">
      <w:pPr>
        <w:pStyle w:val="ListParagraph"/>
        <w:numPr>
          <w:ilvl w:val="0"/>
          <w:numId w:val="34"/>
        </w:numPr>
        <w:contextualSpacing w:val="0"/>
      </w:pPr>
      <w:r w:rsidRPr="00C02BFF">
        <w:t>The first was the existence of “potential structural differences between the sectors which will require different consideration.”</w:t>
      </w:r>
    </w:p>
    <w:p w14:paraId="43FB548F" w14:textId="0E701703" w:rsidR="000B0FED" w:rsidRPr="00C02BFF" w:rsidRDefault="000B0FED" w:rsidP="00C02BFF">
      <w:pPr>
        <w:pStyle w:val="ListParagraph"/>
        <w:numPr>
          <w:ilvl w:val="0"/>
          <w:numId w:val="34"/>
        </w:numPr>
        <w:contextualSpacing w:val="0"/>
      </w:pPr>
      <w:r w:rsidRPr="00C02BFF">
        <w:t>The second reason was that it would not be possible accurately to model the global impact of a generic opt-out mechanism from an economic perspective</w:t>
      </w:r>
      <w:r w:rsidR="009055A5" w:rsidRPr="00C02BFF">
        <w:t>, meaning that certain sectors could be disproportionately affected.</w:t>
      </w:r>
    </w:p>
    <w:p w14:paraId="67C1E52D" w14:textId="219797C2" w:rsidR="000B0FED" w:rsidRPr="00C02BFF" w:rsidRDefault="00405956" w:rsidP="00C02BFF">
      <w:pPr>
        <w:ind w:left="0" w:firstLine="0"/>
      </w:pPr>
      <w:r w:rsidRPr="00C02BFF">
        <w:t>Neither reason is convincing</w:t>
      </w:r>
      <w:r w:rsidR="009055A5" w:rsidRPr="00C02BFF">
        <w:t>. The availability</w:t>
      </w:r>
      <w:r w:rsidR="005D667D" w:rsidRPr="00C02BFF">
        <w:t xml:space="preserve"> in particular sectors</w:t>
      </w:r>
      <w:r w:rsidR="009055A5" w:rsidRPr="00C02BFF">
        <w:t xml:space="preserve"> of alternative means of resolving disputes, the types of representative entities who may be willing to bring a collective action, and the relative merits of an opt-in or opt-out system are all matters that can be considered and addressed under a generic regime.</w:t>
      </w:r>
      <w:r w:rsidR="005D667D" w:rsidRPr="00C02BFF">
        <w:t xml:space="preserve"> </w:t>
      </w:r>
      <w:r w:rsidR="009055A5" w:rsidRPr="00C02BFF">
        <w:t xml:space="preserve">Even if class actions do threaten serious economic consequences to certain businesses within the community, it </w:t>
      </w:r>
      <w:r w:rsidR="00556038" w:rsidRPr="00C02BFF">
        <w:t>is</w:t>
      </w:r>
      <w:r w:rsidR="009055A5" w:rsidRPr="00C02BFF">
        <w:t xml:space="preserve"> no answer simply to preclude an expanded class action procedure </w:t>
      </w:r>
      <w:r w:rsidR="00556038" w:rsidRPr="00C02BFF">
        <w:t>which facilitates</w:t>
      </w:r>
      <w:r w:rsidR="009055A5" w:rsidRPr="00C02BFF">
        <w:t xml:space="preserve"> meritorious claims. The danger of abuse is properly met not by withholding reform from certain sectors, but by implementing appropriately robust procedures </w:t>
      </w:r>
      <w:r w:rsidR="00556038" w:rsidRPr="00C02BFF">
        <w:t>implemented</w:t>
      </w:r>
      <w:r w:rsidR="00191A4C" w:rsidRPr="00C02BFF">
        <w:t xml:space="preserve"> by</w:t>
      </w:r>
      <w:r w:rsidR="009055A5" w:rsidRPr="00C02BFF">
        <w:t xml:space="preserve"> alert judicial gatekeepers.</w:t>
      </w:r>
    </w:p>
    <w:p w14:paraId="030500B6" w14:textId="16B87EE1" w:rsidR="00191A4C" w:rsidRPr="00C02BFF" w:rsidRDefault="00191A4C" w:rsidP="00C02BFF">
      <w:pPr>
        <w:ind w:left="0" w:firstLine="0"/>
      </w:pPr>
      <w:r w:rsidRPr="00C02BFF">
        <w:t xml:space="preserve">There are also dangers associated with reform on a sectoral basis. Inconsistencies in the regimes applied to different sectors risk undermining public confidence in the law </w:t>
      </w:r>
      <w:r w:rsidR="00F80D20" w:rsidRPr="00C02BFF">
        <w:t>in circumstances where</w:t>
      </w:r>
      <w:r w:rsidRPr="00C02BFF">
        <w:t xml:space="preserve"> one sector has available redress via opt-out mechanisms and other sectors do not. </w:t>
      </w:r>
      <w:r w:rsidR="00F80D20" w:rsidRPr="00C02BFF">
        <w:t>Such inconsistencies</w:t>
      </w:r>
      <w:r w:rsidRPr="00C02BFF">
        <w:t xml:space="preserve"> also mean that higher court decisions which are authoritative for one sector may not necessarily be so for another.</w:t>
      </w:r>
      <w:r w:rsidR="00F80D20" w:rsidRPr="00C02BFF">
        <w:t xml:space="preserve"> The leads to a system </w:t>
      </w:r>
      <w:r w:rsidR="00F80D20" w:rsidRPr="00C02BFF">
        <w:lastRenderedPageBreak/>
        <w:t>which is more inefficient and less conducive to legal certainty for its stakeholders (namely, judges, funders, lawyers, and litigants).</w:t>
      </w:r>
    </w:p>
    <w:p w14:paraId="6E5FDBFF" w14:textId="2A9FBA1F" w:rsidR="00C45A67" w:rsidRPr="00C02BFF" w:rsidRDefault="002D2905" w:rsidP="00C02BFF">
      <w:pPr>
        <w:pStyle w:val="Heading1"/>
        <w:rPr>
          <w:rFonts w:cs="Times New Roman"/>
          <w:szCs w:val="24"/>
        </w:rPr>
      </w:pPr>
      <w:r w:rsidRPr="00C02BFF">
        <w:rPr>
          <w:rFonts w:cs="Times New Roman"/>
          <w:szCs w:val="24"/>
        </w:rPr>
        <w:t xml:space="preserve">Litigation funders should be entitled to </w:t>
      </w:r>
      <w:r w:rsidR="00C03B27" w:rsidRPr="00C02BFF">
        <w:rPr>
          <w:rFonts w:cs="Times New Roman"/>
          <w:szCs w:val="24"/>
        </w:rPr>
        <w:t>recover success fee</w:t>
      </w:r>
      <w:r w:rsidR="00C03B27" w:rsidRPr="00C02BFF">
        <w:rPr>
          <w:rFonts w:cs="Times New Roman"/>
          <w:szCs w:val="24"/>
        </w:rPr>
        <w:t>s</w:t>
      </w:r>
      <w:r w:rsidR="00C03B27" w:rsidRPr="00C02BFF">
        <w:rPr>
          <w:rFonts w:cs="Times New Roman"/>
          <w:szCs w:val="24"/>
        </w:rPr>
        <w:t xml:space="preserve"> as a charge on the damages awarded</w:t>
      </w:r>
    </w:p>
    <w:p w14:paraId="1A73EC7D" w14:textId="77777777" w:rsidR="00EA77AD" w:rsidRPr="00C02BFF" w:rsidRDefault="00437995" w:rsidP="00C02BFF">
      <w:pPr>
        <w:ind w:left="0" w:firstLine="0"/>
      </w:pPr>
      <w:r w:rsidRPr="00C02BFF">
        <w:t>T</w:t>
      </w:r>
      <w:r w:rsidR="00EB4312" w:rsidRPr="00C02BFF">
        <w:t>he Ontario Law Reform Commission explained in 1982 that:</w:t>
      </w:r>
    </w:p>
    <w:p w14:paraId="27960FBD" w14:textId="59D2A795" w:rsidR="00F26AA6" w:rsidRPr="00C02BFF" w:rsidRDefault="00EB4312" w:rsidP="00C02BFF">
      <w:pPr>
        <w:ind w:left="0" w:firstLine="0"/>
      </w:pPr>
      <w:r w:rsidRPr="00C02BFF">
        <w:t>“The question of costs is the single most important issue that this Commission has considered in designing an expanded class action procedure … the matter of costs will not merely affect the efficacy of class actions, but in fact will determine whether this procedure will be utilised at all.”</w:t>
      </w:r>
      <w:r w:rsidR="003547E7">
        <w:rPr>
          <w:rStyle w:val="FootnoteReference"/>
        </w:rPr>
        <w:footnoteReference w:id="7"/>
      </w:r>
    </w:p>
    <w:p w14:paraId="003523E2" w14:textId="46F9360D" w:rsidR="009D1751" w:rsidRPr="00C02BFF" w:rsidRDefault="00780FB2" w:rsidP="00C02BFF">
      <w:pPr>
        <w:ind w:left="0" w:firstLine="0"/>
      </w:pPr>
      <w:r w:rsidRPr="00C02BFF">
        <w:t>The experience in Australia demonstrates that the</w:t>
      </w:r>
      <w:r w:rsidR="00F15258" w:rsidRPr="00C02BFF">
        <w:t xml:space="preserve"> retention of </w:t>
      </w:r>
      <w:r w:rsidRPr="00C02BFF">
        <w:t>a system of costs shifting in opt-out proceedings represents a workable model</w:t>
      </w:r>
      <w:r w:rsidR="004457BB" w:rsidRPr="00C02BFF">
        <w:t>.</w:t>
      </w:r>
      <w:r w:rsidR="005D4642" w:rsidRPr="00C02BFF">
        <w:t xml:space="preserve"> </w:t>
      </w:r>
      <w:r w:rsidR="00413EF6" w:rsidRPr="00C02BFF">
        <w:t>However, an effect of m</w:t>
      </w:r>
      <w:r w:rsidR="00CC2FF0" w:rsidRPr="00C02BFF">
        <w:t xml:space="preserve">aintaining </w:t>
      </w:r>
      <w:r w:rsidR="00CC2FF0" w:rsidRPr="00C02BFF">
        <w:t>the costs shifting</w:t>
      </w:r>
      <w:r w:rsidR="00CC2FF0" w:rsidRPr="00C02BFF">
        <w:t xml:space="preserve"> regime is that representative claimants must have</w:t>
      </w:r>
      <w:r w:rsidR="00913549" w:rsidRPr="00C02BFF">
        <w:t xml:space="preserve"> access to</w:t>
      </w:r>
      <w:r w:rsidR="00CC2FF0" w:rsidRPr="00C02BFF">
        <w:t xml:space="preserve"> the resources to pay adverse costs orders </w:t>
      </w:r>
      <w:r w:rsidR="005C6ECF" w:rsidRPr="00C02BFF">
        <w:t>made against them</w:t>
      </w:r>
      <w:r w:rsidR="007865C0" w:rsidRPr="00C02BFF">
        <w:t>.</w:t>
      </w:r>
      <w:r w:rsidR="009D1751" w:rsidRPr="00C02BFF">
        <w:t xml:space="preserve"> The importance of this issue is reflected in the fact that </w:t>
      </w:r>
      <w:r w:rsidR="007F6927" w:rsidRPr="00C02BFF">
        <w:t>it is dealt with</w:t>
      </w:r>
      <w:r w:rsidR="009D1751" w:rsidRPr="00C02BFF">
        <w:t xml:space="preserve"> </w:t>
      </w:r>
      <w:r w:rsidR="00D77865" w:rsidRPr="00C02BFF">
        <w:t xml:space="preserve">by the CAT </w:t>
      </w:r>
      <w:r w:rsidR="009D1751" w:rsidRPr="00C02BFF">
        <w:t>as part of the certification process.</w:t>
      </w:r>
      <w:r w:rsidR="00F918E5" w:rsidRPr="00C02BFF">
        <w:rPr>
          <w:rStyle w:val="FootnoteReference"/>
        </w:rPr>
        <w:footnoteReference w:id="8"/>
      </w:r>
    </w:p>
    <w:p w14:paraId="1BE014F5" w14:textId="19D11499" w:rsidR="0008567A" w:rsidRPr="00C02BFF" w:rsidRDefault="00561DB0" w:rsidP="00C02BFF">
      <w:pPr>
        <w:ind w:left="0" w:firstLine="0"/>
      </w:pPr>
      <w:r w:rsidRPr="00C02BFF">
        <w:t>In these circumstances, the</w:t>
      </w:r>
      <w:r w:rsidR="00913549" w:rsidRPr="00C02BFF">
        <w:t xml:space="preserve"> availability of third-party funding</w:t>
      </w:r>
      <w:r w:rsidR="00334F79" w:rsidRPr="00C02BFF">
        <w:t xml:space="preserve"> is of substantial importance for the success of a</w:t>
      </w:r>
      <w:r w:rsidRPr="00C02BFF">
        <w:t>ny</w:t>
      </w:r>
      <w:r w:rsidR="00334F79" w:rsidRPr="00C02BFF">
        <w:t xml:space="preserve"> generic opt-out class action regime.</w:t>
      </w:r>
      <w:r w:rsidR="008E2329" w:rsidRPr="00C02BFF">
        <w:t xml:space="preserve"> </w:t>
      </w:r>
      <w:r w:rsidR="008347FE" w:rsidRPr="00C02BFF">
        <w:t xml:space="preserve">However, s.47C(6) of the </w:t>
      </w:r>
      <w:r w:rsidR="00182930" w:rsidRPr="00C02BFF">
        <w:t>Competition Act 1998</w:t>
      </w:r>
      <w:r w:rsidR="008347FE" w:rsidRPr="00C02BFF">
        <w:t xml:space="preserve"> </w:t>
      </w:r>
      <w:r w:rsidR="00182930" w:rsidRPr="00C02BFF">
        <w:t>makes it clear that payments to class representatives in respect of the costs they have incurred can only be made from unclaimed damages.</w:t>
      </w:r>
      <w:r w:rsidR="0008567A" w:rsidRPr="00C02BFF">
        <w:t xml:space="preserve"> </w:t>
      </w:r>
      <w:r w:rsidR="00E11520" w:rsidRPr="00C02BFF">
        <w:t>I</w:t>
      </w:r>
      <w:r w:rsidR="00AC6BC5" w:rsidRPr="00C02BFF">
        <w:t>f</w:t>
      </w:r>
      <w:r w:rsidR="0008567A" w:rsidRPr="00C02BFF">
        <w:t xml:space="preserve"> the action </w:t>
      </w:r>
      <w:r w:rsidR="00E11520" w:rsidRPr="00C02BFF">
        <w:t>succeeds</w:t>
      </w:r>
      <w:r w:rsidR="0008567A" w:rsidRPr="00C02BFF">
        <w:t xml:space="preserve"> i</w:t>
      </w:r>
      <w:r w:rsidR="00E11520" w:rsidRPr="00C02BFF">
        <w:t xml:space="preserve">n </w:t>
      </w:r>
      <w:r w:rsidR="0008567A" w:rsidRPr="00C02BFF">
        <w:t>its primary aim</w:t>
      </w:r>
      <w:r w:rsidR="0008567A" w:rsidRPr="00C02BFF">
        <w:t xml:space="preserve"> of </w:t>
      </w:r>
      <w:r w:rsidR="00E11520" w:rsidRPr="00C02BFF">
        <w:t xml:space="preserve">achieving </w:t>
      </w:r>
      <w:r w:rsidR="0008567A" w:rsidRPr="00C02BFF">
        <w:t>full compensation for affected victims</w:t>
      </w:r>
      <w:r w:rsidR="0008567A" w:rsidRPr="00C02BFF">
        <w:t xml:space="preserve">, then </w:t>
      </w:r>
      <w:r w:rsidR="0008567A" w:rsidRPr="00C02BFF">
        <w:t>there is no way in which the funder can recover their fee for funding the action.</w:t>
      </w:r>
      <w:r w:rsidR="0000510E" w:rsidRPr="00C02BFF">
        <w:t xml:space="preserve"> The practical effect is substantially to reduce the attractiveness of </w:t>
      </w:r>
      <w:r w:rsidR="00344F15" w:rsidRPr="00C02BFF">
        <w:t xml:space="preserve">the enterprise to </w:t>
      </w:r>
      <w:r w:rsidR="000E4AA6" w:rsidRPr="00C02BFF">
        <w:t>litigation funders, who will be faced with a funding model that depends on people not exercising their legal rights.</w:t>
      </w:r>
    </w:p>
    <w:p w14:paraId="3AEBA148" w14:textId="412B08D8" w:rsidR="001D2F2C" w:rsidRPr="00C02BFF" w:rsidRDefault="008E2329" w:rsidP="00C02BFF">
      <w:pPr>
        <w:ind w:left="0" w:firstLine="0"/>
      </w:pPr>
      <w:r w:rsidRPr="00C02BFF">
        <w:t>The rationale</w:t>
      </w:r>
      <w:r w:rsidR="000E4AA6" w:rsidRPr="00C02BFF">
        <w:t xml:space="preserve"> of </w:t>
      </w:r>
      <w:r w:rsidR="000E4AA6" w:rsidRPr="00C02BFF">
        <w:t>s.47C(6)</w:t>
      </w:r>
      <w:r w:rsidRPr="00C02BFF">
        <w:t xml:space="preserve"> </w:t>
      </w:r>
      <w:r w:rsidRPr="00C02BFF">
        <w:t>is to</w:t>
      </w:r>
      <w:r w:rsidRPr="00C02BFF">
        <w:t xml:space="preserve"> protect class members</w:t>
      </w:r>
      <w:r w:rsidR="000E4AA6" w:rsidRPr="00C02BFF">
        <w:t>’</w:t>
      </w:r>
      <w:r w:rsidRPr="00C02BFF">
        <w:t xml:space="preserve"> entitlement</w:t>
      </w:r>
      <w:r w:rsidR="000E4AA6" w:rsidRPr="00C02BFF">
        <w:t xml:space="preserve"> to full compensation</w:t>
      </w:r>
      <w:r w:rsidR="008B121B" w:rsidRPr="00C02BFF">
        <w:t>. B</w:t>
      </w:r>
      <w:r w:rsidRPr="00C02BFF">
        <w:t xml:space="preserve">ut this ignores the probability that victims are unlikely to have their actions funded in the first place </w:t>
      </w:r>
      <w:r w:rsidR="008B121B" w:rsidRPr="00C02BFF">
        <w:t>in circumstances where</w:t>
      </w:r>
      <w:r w:rsidRPr="00C02BFF">
        <w:t xml:space="preserve"> a prospective funder faces uncertainty as to whether they can recover their investment</w:t>
      </w:r>
      <w:r w:rsidR="00E83212" w:rsidRPr="00C02BFF">
        <w:t xml:space="preserve">. This </w:t>
      </w:r>
      <w:r w:rsidR="00FC0EEC" w:rsidRPr="00C02BFF">
        <w:t>is</w:t>
      </w:r>
      <w:r w:rsidR="00677F82" w:rsidRPr="00C02BFF">
        <w:t xml:space="preserve"> additional to </w:t>
      </w:r>
      <w:r w:rsidRPr="00C02BFF">
        <w:t>the inherent uncertainty as to whether the action will succeed or not.</w:t>
      </w:r>
      <w:r w:rsidR="00497FD4" w:rsidRPr="00C02BFF">
        <w:t xml:space="preserve"> The</w:t>
      </w:r>
      <w:r w:rsidR="00CD5C5C" w:rsidRPr="00C02BFF">
        <w:t xml:space="preserve"> conclusion of this</w:t>
      </w:r>
      <w:r w:rsidR="00497FD4" w:rsidRPr="00C02BFF">
        <w:t xml:space="preserve"> </w:t>
      </w:r>
      <w:r w:rsidR="00361800" w:rsidRPr="00C02BFF">
        <w:t>proposal is therefore that the generic opt-</w:t>
      </w:r>
      <w:r w:rsidR="00361800" w:rsidRPr="00C02BFF">
        <w:lastRenderedPageBreak/>
        <w:t xml:space="preserve">out regime </w:t>
      </w:r>
      <w:r w:rsidR="00E83212" w:rsidRPr="00C02BFF">
        <w:t xml:space="preserve">will </w:t>
      </w:r>
      <w:r w:rsidR="00361800" w:rsidRPr="00C02BFF">
        <w:t xml:space="preserve">include statutory authorisation for the funder to recover its fee as a charge on </w:t>
      </w:r>
      <w:r w:rsidR="00241FBA" w:rsidRPr="00C02BFF">
        <w:t>the damages awarded.</w:t>
      </w:r>
      <w:bookmarkStart w:id="0" w:name="_GoBack"/>
      <w:bookmarkEnd w:id="0"/>
    </w:p>
    <w:p w14:paraId="6C27197F" w14:textId="5DCFFB03" w:rsidR="00F65984" w:rsidRPr="00C02BFF" w:rsidRDefault="00F65984" w:rsidP="00C02BFF">
      <w:pPr>
        <w:pStyle w:val="Heading1"/>
        <w:rPr>
          <w:rFonts w:cs="Times New Roman"/>
          <w:szCs w:val="24"/>
        </w:rPr>
      </w:pPr>
      <w:r w:rsidRPr="00C02BFF">
        <w:rPr>
          <w:rFonts w:cs="Times New Roman"/>
          <w:szCs w:val="24"/>
        </w:rPr>
        <w:t>Conclusion</w:t>
      </w:r>
    </w:p>
    <w:p w14:paraId="0EDD9AF4" w14:textId="416A3B4A" w:rsidR="00DF36A4" w:rsidRDefault="0069461F" w:rsidP="00C02BFF">
      <w:pPr>
        <w:ind w:left="0" w:firstLine="0"/>
      </w:pPr>
      <w:r w:rsidRPr="00C02BFF">
        <w:t xml:space="preserve">The current system of multi-party litigation </w:t>
      </w:r>
      <w:r w:rsidR="005E184C" w:rsidRPr="00C02BFF">
        <w:t>does not properly meet the primary aim of securing effective and efficient access to justice for claimants in large-scale litigation</w:t>
      </w:r>
      <w:r w:rsidR="005919BF" w:rsidRPr="00C02BFF">
        <w:t>. The</w:t>
      </w:r>
      <w:r w:rsidR="00983DCD" w:rsidRPr="00C02BFF">
        <w:t xml:space="preserve"> GLO regime suffers from the </w:t>
      </w:r>
      <w:r w:rsidR="00127048" w:rsidRPr="00C02BFF">
        <w:t>participation problems</w:t>
      </w:r>
      <w:r w:rsidR="00983DCD" w:rsidRPr="00C02BFF">
        <w:t xml:space="preserve"> inherent in all opt-in systems</w:t>
      </w:r>
      <w:r w:rsidR="005E184C" w:rsidRPr="00C02BFF">
        <w:t xml:space="preserve">. </w:t>
      </w:r>
      <w:r w:rsidR="002A4D91" w:rsidRPr="00C02BFF">
        <w:t xml:space="preserve">This </w:t>
      </w:r>
      <w:r w:rsidR="0023798B" w:rsidRPr="00C02BFF">
        <w:t>means that the secondary aims of deterrence of undesirable behaviour and supplementation of public regulatory systems</w:t>
      </w:r>
      <w:r w:rsidR="005919BF" w:rsidRPr="00C02BFF">
        <w:t xml:space="preserve"> are also undermined.</w:t>
      </w:r>
      <w:r w:rsidR="00B36C92" w:rsidRPr="00C02BFF">
        <w:t xml:space="preserve"> This essay has therefore proposed the introduction of a generic opt-out class action regime </w:t>
      </w:r>
      <w:r w:rsidR="00043FD5" w:rsidRPr="00C02BFF">
        <w:t>incorporating safeguards from</w:t>
      </w:r>
      <w:r w:rsidR="00B36C92" w:rsidRPr="00C02BFF">
        <w:t xml:space="preserve"> the CAT’s collective procedure.</w:t>
      </w:r>
      <w:r w:rsidR="0064349C" w:rsidRPr="00C02BFF">
        <w:t xml:space="preserve"> The practical efficacy of this regime will depend on </w:t>
      </w:r>
      <w:r w:rsidR="007D7D8D" w:rsidRPr="00C02BFF">
        <w:t>(</w:t>
      </w:r>
      <w:proofErr w:type="spellStart"/>
      <w:r w:rsidR="007D7D8D" w:rsidRPr="00C02BFF">
        <w:t>i</w:t>
      </w:r>
      <w:proofErr w:type="spellEnd"/>
      <w:r w:rsidR="007D7D8D" w:rsidRPr="00C02BFF">
        <w:t xml:space="preserve">) </w:t>
      </w:r>
      <w:r w:rsidR="004A0414" w:rsidRPr="00C02BFF">
        <w:t xml:space="preserve">an approach to class certification which is not unduly restrictive and (ii) </w:t>
      </w:r>
      <w:r w:rsidR="00E61086" w:rsidRPr="00C02BFF">
        <w:t>increasing the attractiveness of litigation to funders</w:t>
      </w:r>
      <w:r w:rsidR="004A0414" w:rsidRPr="00C02BFF">
        <w:t xml:space="preserve"> by </w:t>
      </w:r>
      <w:r w:rsidR="00536811" w:rsidRPr="00C02BFF">
        <w:t>permitting fees to be recovered from the damages awarded.</w:t>
      </w:r>
    </w:p>
    <w:p w14:paraId="23714B91" w14:textId="77777777" w:rsidR="00DF36A4" w:rsidRDefault="00DF36A4">
      <w:r>
        <w:br w:type="page"/>
      </w:r>
    </w:p>
    <w:p w14:paraId="495AF4B2" w14:textId="3D10685A" w:rsidR="00F65984" w:rsidRDefault="00CE5645" w:rsidP="00C02BFF">
      <w:pPr>
        <w:ind w:left="0" w:firstLine="0"/>
      </w:pPr>
      <w:r>
        <w:lastRenderedPageBreak/>
        <w:t>James Beeton</w:t>
      </w:r>
    </w:p>
    <w:p w14:paraId="3980152B" w14:textId="22357067" w:rsidR="00CE5645" w:rsidRDefault="00CE5645" w:rsidP="00C02BFF">
      <w:pPr>
        <w:ind w:left="0" w:firstLine="0"/>
      </w:pPr>
      <w:r>
        <w:t>12 King’s Bench Walk, Temple, London, EC4Y 7EL</w:t>
      </w:r>
    </w:p>
    <w:p w14:paraId="7725DC2F" w14:textId="6A416D2E" w:rsidR="00CE5645" w:rsidRDefault="00CE5645" w:rsidP="00C02BFF">
      <w:pPr>
        <w:ind w:left="0" w:firstLine="0"/>
      </w:pPr>
      <w:hyperlink r:id="rId7" w:history="1">
        <w:r w:rsidRPr="00746C04">
          <w:rPr>
            <w:rStyle w:val="Hyperlink"/>
          </w:rPr>
          <w:t>beeton@12kbw.co.uk</w:t>
        </w:r>
      </w:hyperlink>
    </w:p>
    <w:p w14:paraId="05E502F9" w14:textId="426E6FC8" w:rsidR="00CE5645" w:rsidRDefault="00FB7DCE" w:rsidP="00C02BFF">
      <w:pPr>
        <w:ind w:left="0" w:firstLine="0"/>
      </w:pPr>
      <w:r>
        <w:t>Year of call: 2013</w:t>
      </w:r>
    </w:p>
    <w:p w14:paraId="21C3341C" w14:textId="191F668A" w:rsidR="00FB7DCE" w:rsidRPr="00C02BFF" w:rsidRDefault="00FB7DCE" w:rsidP="00C02BFF">
      <w:pPr>
        <w:ind w:left="0" w:firstLine="0"/>
      </w:pPr>
      <w:r>
        <w:t xml:space="preserve">I confirm that I am qualified to take part in the </w:t>
      </w:r>
      <w:r w:rsidR="00E810CF" w:rsidRPr="00E810CF">
        <w:t>2019 Jonathan Brock QC Memorial Prize Essay</w:t>
      </w:r>
      <w:r w:rsidR="00E810CF">
        <w:t xml:space="preserve"> Competition.</w:t>
      </w:r>
    </w:p>
    <w:sectPr w:rsidR="00FB7DCE" w:rsidRPr="00C02BFF" w:rsidSect="0009419E">
      <w:footerReference w:type="even"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C01AA" w14:textId="77777777" w:rsidR="00992B31" w:rsidRDefault="00992B31" w:rsidP="00653AD3">
      <w:pPr>
        <w:spacing w:before="0" w:after="0" w:line="240" w:lineRule="auto"/>
      </w:pPr>
      <w:r>
        <w:separator/>
      </w:r>
    </w:p>
  </w:endnote>
  <w:endnote w:type="continuationSeparator" w:id="0">
    <w:p w14:paraId="62313915" w14:textId="77777777" w:rsidR="00992B31" w:rsidRDefault="00992B31" w:rsidP="00653AD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4801310"/>
      <w:docPartObj>
        <w:docPartGallery w:val="Page Numbers (Bottom of Page)"/>
        <w:docPartUnique/>
      </w:docPartObj>
    </w:sdtPr>
    <w:sdtContent>
      <w:p w14:paraId="2D99F516" w14:textId="14EC31DA" w:rsidR="00DF36A4" w:rsidRDefault="00DF36A4" w:rsidP="00746C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A4B3FE" w14:textId="77777777" w:rsidR="00DF36A4" w:rsidRDefault="00DF36A4" w:rsidP="00DF36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94344493"/>
      <w:docPartObj>
        <w:docPartGallery w:val="Page Numbers (Bottom of Page)"/>
        <w:docPartUnique/>
      </w:docPartObj>
    </w:sdtPr>
    <w:sdtContent>
      <w:p w14:paraId="56B7B4B5" w14:textId="4E8F8AD7" w:rsidR="00DF36A4" w:rsidRDefault="00DF36A4" w:rsidP="00746C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F1FEC44" w14:textId="77777777" w:rsidR="00DF36A4" w:rsidRDefault="00DF36A4" w:rsidP="00DF36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8A5B0" w14:textId="77777777" w:rsidR="00992B31" w:rsidRDefault="00992B31" w:rsidP="00653AD3">
      <w:pPr>
        <w:spacing w:before="0" w:after="0" w:line="240" w:lineRule="auto"/>
      </w:pPr>
      <w:r>
        <w:separator/>
      </w:r>
    </w:p>
  </w:footnote>
  <w:footnote w:type="continuationSeparator" w:id="0">
    <w:p w14:paraId="0195F9A0" w14:textId="77777777" w:rsidR="00992B31" w:rsidRDefault="00992B31" w:rsidP="00653AD3">
      <w:pPr>
        <w:spacing w:before="0" w:after="0" w:line="240" w:lineRule="auto"/>
      </w:pPr>
      <w:r>
        <w:continuationSeparator/>
      </w:r>
    </w:p>
  </w:footnote>
  <w:footnote w:id="1">
    <w:p w14:paraId="2E45E906" w14:textId="4CE9DC24" w:rsidR="00700C2B" w:rsidRPr="00EB0CD7" w:rsidRDefault="00700C2B" w:rsidP="005A1D48">
      <w:pPr>
        <w:pStyle w:val="FootnoteText"/>
      </w:pPr>
      <w:r w:rsidRPr="00EB0CD7">
        <w:rPr>
          <w:rStyle w:val="FootnoteReference"/>
        </w:rPr>
        <w:footnoteRef/>
      </w:r>
      <w:r w:rsidRPr="00EB0CD7">
        <w:t xml:space="preserve"> </w:t>
      </w:r>
      <w:r w:rsidR="00522796">
        <w:t>“</w:t>
      </w:r>
      <w:r w:rsidRPr="00EB0CD7">
        <w:t xml:space="preserve">From </w:t>
      </w:r>
      <w:proofErr w:type="spellStart"/>
      <w:r w:rsidRPr="00EB0CD7">
        <w:t>barretry</w:t>
      </w:r>
      <w:proofErr w:type="spellEnd"/>
      <w:r w:rsidRPr="00EB0CD7">
        <w:t>, maintenance and champerty to litigation funding</w:t>
      </w:r>
      <w:r w:rsidR="00522796">
        <w:t xml:space="preserve">”, </w:t>
      </w:r>
      <w:proofErr w:type="spellStart"/>
      <w:r w:rsidRPr="00EB0CD7">
        <w:t>Inaugral</w:t>
      </w:r>
      <w:proofErr w:type="spellEnd"/>
      <w:r w:rsidRPr="00EB0CD7">
        <w:t xml:space="preserve"> Harbour Lecture, </w:t>
      </w:r>
      <w:proofErr w:type="spellStart"/>
      <w:r w:rsidRPr="00EB0CD7">
        <w:t>Gray’s</w:t>
      </w:r>
      <w:proofErr w:type="spellEnd"/>
      <w:r w:rsidRPr="00EB0CD7">
        <w:t xml:space="preserve"> Inn, 8 May 2013, para.47.</w:t>
      </w:r>
    </w:p>
  </w:footnote>
  <w:footnote w:id="2">
    <w:p w14:paraId="2E87CC8C" w14:textId="7F1207F4" w:rsidR="00700C2B" w:rsidRDefault="00700C2B">
      <w:pPr>
        <w:pStyle w:val="FootnoteText"/>
      </w:pPr>
      <w:r>
        <w:rPr>
          <w:rStyle w:val="FootnoteReference"/>
        </w:rPr>
        <w:footnoteRef/>
      </w:r>
      <w:r>
        <w:t xml:space="preserve"> </w:t>
      </w:r>
      <w:r w:rsidR="00C02F97" w:rsidRPr="00C02F97">
        <w:t>Australian Law Reform Commission, Integrity, Fairness and Efficiency—An Inquiry into Class Action Proceedings and Third-Party Litigation Funders (Report No.134, December 2018)</w:t>
      </w:r>
      <w:r w:rsidR="00C02F97">
        <w:t>.</w:t>
      </w:r>
    </w:p>
  </w:footnote>
  <w:footnote w:id="3">
    <w:p w14:paraId="4D8F7CBF" w14:textId="26EFBC9E" w:rsidR="00700C2B" w:rsidRPr="00EB0CD7" w:rsidRDefault="00700C2B">
      <w:pPr>
        <w:pStyle w:val="FootnoteText"/>
      </w:pPr>
      <w:r w:rsidRPr="00EB0CD7">
        <w:rPr>
          <w:rStyle w:val="FootnoteReference"/>
        </w:rPr>
        <w:footnoteRef/>
      </w:r>
      <w:r w:rsidRPr="00EB0CD7">
        <w:t xml:space="preserve"> </w:t>
      </w:r>
      <w:r w:rsidR="005F5396">
        <w:t>For example,</w:t>
      </w:r>
      <w:r w:rsidRPr="00EB0CD7">
        <w:t xml:space="preserve"> </w:t>
      </w:r>
      <w:r w:rsidRPr="00EB0CD7">
        <w:rPr>
          <w:i/>
          <w:iCs/>
        </w:rPr>
        <w:t>Lubbe v Cape plc</w:t>
      </w:r>
      <w:r w:rsidRPr="00EB0CD7">
        <w:t xml:space="preserve"> [2000] 1 WLR 1545 (3,000 co-claimants)</w:t>
      </w:r>
      <w:r w:rsidR="005F5396">
        <w:t>.</w:t>
      </w:r>
    </w:p>
  </w:footnote>
  <w:footnote w:id="4">
    <w:p w14:paraId="29115E3E" w14:textId="0ECB4C40" w:rsidR="00700C2B" w:rsidRPr="00EB0CD7" w:rsidRDefault="00700C2B" w:rsidP="00AB4789">
      <w:pPr>
        <w:pStyle w:val="FootnoteText"/>
      </w:pPr>
      <w:r w:rsidRPr="00EB0CD7">
        <w:rPr>
          <w:rStyle w:val="FootnoteReference"/>
        </w:rPr>
        <w:footnoteRef/>
      </w:r>
      <w:r w:rsidRPr="00EB0CD7">
        <w:t xml:space="preserve"> </w:t>
      </w:r>
      <w:r w:rsidR="00FE7F8E">
        <w:t>R</w:t>
      </w:r>
      <w:r w:rsidRPr="00AB4789">
        <w:t xml:space="preserve"> </w:t>
      </w:r>
      <w:proofErr w:type="spellStart"/>
      <w:r w:rsidRPr="00AB4789">
        <w:t>Mulheron</w:t>
      </w:r>
      <w:proofErr w:type="spellEnd"/>
      <w:r>
        <w:t>,</w:t>
      </w:r>
      <w:r w:rsidRPr="00AB4789">
        <w:t xml:space="preserve"> </w:t>
      </w:r>
      <w:r w:rsidRPr="00EB0CD7">
        <w:t>“Reform of Collective Redress in England and Wales: A Perspective of Need”</w:t>
      </w:r>
      <w:r w:rsidR="00BF6EC4">
        <w:t>, Research Paper for submission to the CJC (February 2008).</w:t>
      </w:r>
    </w:p>
  </w:footnote>
  <w:footnote w:id="5">
    <w:p w14:paraId="7EA3DDA0" w14:textId="457E88BB" w:rsidR="00700C2B" w:rsidRPr="008B14A0" w:rsidRDefault="00700C2B" w:rsidP="00251CDF">
      <w:pPr>
        <w:pStyle w:val="FootnoteText"/>
        <w:rPr>
          <w:i/>
          <w:iCs/>
        </w:rPr>
      </w:pPr>
      <w:r>
        <w:rPr>
          <w:rStyle w:val="FootnoteReference"/>
        </w:rPr>
        <w:footnoteRef/>
      </w:r>
      <w:r>
        <w:t xml:space="preserve"> </w:t>
      </w:r>
      <w:r w:rsidR="008B14A0" w:rsidRPr="008B14A0">
        <w:t xml:space="preserve">R. </w:t>
      </w:r>
      <w:proofErr w:type="spellStart"/>
      <w:r w:rsidR="008B14A0" w:rsidRPr="008B14A0">
        <w:t>Mulheron</w:t>
      </w:r>
      <w:proofErr w:type="spellEnd"/>
      <w:r w:rsidR="008B14A0">
        <w:t xml:space="preserve">, </w:t>
      </w:r>
      <w:r w:rsidR="008B14A0">
        <w:rPr>
          <w:i/>
          <w:iCs/>
        </w:rPr>
        <w:t>supra.</w:t>
      </w:r>
    </w:p>
  </w:footnote>
  <w:footnote w:id="6">
    <w:p w14:paraId="42F1ED3F" w14:textId="77777777" w:rsidR="00C87FBC" w:rsidRDefault="00C87FBC" w:rsidP="00C87FBC">
      <w:pPr>
        <w:pStyle w:val="FootnoteText"/>
      </w:pPr>
      <w:r>
        <w:rPr>
          <w:rStyle w:val="FootnoteReference"/>
        </w:rPr>
        <w:footnoteRef/>
      </w:r>
      <w:r>
        <w:t xml:space="preserve"> </w:t>
      </w:r>
      <w:proofErr w:type="spellStart"/>
      <w:r w:rsidRPr="00732F8C">
        <w:rPr>
          <w:i/>
          <w:iCs/>
        </w:rPr>
        <w:t>Merricks</w:t>
      </w:r>
      <w:proofErr w:type="spellEnd"/>
      <w:r w:rsidRPr="00732F8C">
        <w:rPr>
          <w:i/>
          <w:iCs/>
        </w:rPr>
        <w:t xml:space="preserve"> v MasterCard Inc &amp; </w:t>
      </w:r>
      <w:proofErr w:type="spellStart"/>
      <w:r w:rsidRPr="00732F8C">
        <w:rPr>
          <w:i/>
          <w:iCs/>
        </w:rPr>
        <w:t>Ors</w:t>
      </w:r>
      <w:proofErr w:type="spellEnd"/>
      <w:r w:rsidRPr="00732F8C">
        <w:t xml:space="preserve"> [2019] EWCA </w:t>
      </w:r>
      <w:proofErr w:type="spellStart"/>
      <w:r w:rsidRPr="00732F8C">
        <w:t>Civ</w:t>
      </w:r>
      <w:proofErr w:type="spellEnd"/>
      <w:r w:rsidRPr="00732F8C">
        <w:t xml:space="preserve"> 674</w:t>
      </w:r>
      <w:r>
        <w:t>.</w:t>
      </w:r>
    </w:p>
  </w:footnote>
  <w:footnote w:id="7">
    <w:p w14:paraId="0173E962" w14:textId="45FDF33C" w:rsidR="003547E7" w:rsidRDefault="003547E7">
      <w:pPr>
        <w:pStyle w:val="FootnoteText"/>
      </w:pPr>
      <w:r>
        <w:rPr>
          <w:rStyle w:val="FootnoteReference"/>
        </w:rPr>
        <w:footnoteRef/>
      </w:r>
      <w:r>
        <w:t xml:space="preserve"> </w:t>
      </w:r>
      <w:r w:rsidRPr="003547E7">
        <w:t>Ontario Law Reform Commission, Report on Class Actions (1982), vol</w:t>
      </w:r>
      <w:r>
        <w:t>.</w:t>
      </w:r>
      <w:r w:rsidRPr="003547E7">
        <w:t>3</w:t>
      </w:r>
      <w:r>
        <w:t>, p.647.</w:t>
      </w:r>
    </w:p>
  </w:footnote>
  <w:footnote w:id="8">
    <w:p w14:paraId="2DAEDE9E" w14:textId="0D51B5FD" w:rsidR="00F918E5" w:rsidRDefault="00F918E5">
      <w:pPr>
        <w:pStyle w:val="FootnoteText"/>
      </w:pPr>
      <w:r>
        <w:rPr>
          <w:rStyle w:val="FootnoteReference"/>
        </w:rPr>
        <w:footnoteRef/>
      </w:r>
      <w:r>
        <w:t xml:space="preserve"> </w:t>
      </w:r>
      <w:r w:rsidR="007F6927">
        <w:t>CATR</w:t>
      </w:r>
      <w:r w:rsidR="00935EB2">
        <w:t xml:space="preserve"> </w:t>
      </w:r>
      <w:r w:rsidR="007F6927">
        <w:t>78(2)(d).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191A"/>
    <w:multiLevelType w:val="hybridMultilevel"/>
    <w:tmpl w:val="67AA5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31809"/>
    <w:multiLevelType w:val="hybridMultilevel"/>
    <w:tmpl w:val="B018327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961A74"/>
    <w:multiLevelType w:val="hybridMultilevel"/>
    <w:tmpl w:val="B018327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9E1F3F"/>
    <w:multiLevelType w:val="hybridMultilevel"/>
    <w:tmpl w:val="B44EA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496736"/>
    <w:multiLevelType w:val="hybridMultilevel"/>
    <w:tmpl w:val="B018327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0C07AC"/>
    <w:multiLevelType w:val="hybridMultilevel"/>
    <w:tmpl w:val="F7309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9A3DB5"/>
    <w:multiLevelType w:val="hybridMultilevel"/>
    <w:tmpl w:val="B018327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D621EE"/>
    <w:multiLevelType w:val="hybridMultilevel"/>
    <w:tmpl w:val="B018327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D85391"/>
    <w:multiLevelType w:val="multilevel"/>
    <w:tmpl w:val="83B6865A"/>
    <w:lvl w:ilvl="0">
      <w:start w:val="1"/>
      <w:numFmt w:val="decimal"/>
      <w:pStyle w:val="Heading1"/>
      <w:lvlText w:val="%1"/>
      <w:lvlJc w:val="left"/>
      <w:pPr>
        <w:ind w:left="360" w:hanging="360"/>
      </w:pPr>
      <w:rPr>
        <w:rFonts w:hint="default"/>
      </w:rPr>
    </w:lvl>
    <w:lvl w:ilvl="1">
      <w:start w:val="1"/>
      <w:numFmt w:val="lowerLetter"/>
      <w:pStyle w:val="Heading2"/>
      <w:lvlText w:val="(%2)"/>
      <w:lvlJc w:val="left"/>
      <w:pPr>
        <w:ind w:left="0" w:firstLine="0"/>
      </w:pPr>
      <w:rPr>
        <w:rFonts w:hint="default"/>
      </w:rPr>
    </w:lvl>
    <w:lvl w:ilvl="2">
      <w:start w:val="1"/>
      <w:numFmt w:val="lowerRoman"/>
      <w:lvlText w:val="(%3)"/>
      <w:lvlJc w:val="left"/>
      <w:pPr>
        <w:ind w:left="34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CF75861"/>
    <w:multiLevelType w:val="hybridMultilevel"/>
    <w:tmpl w:val="B018327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3F76A6"/>
    <w:multiLevelType w:val="hybridMultilevel"/>
    <w:tmpl w:val="30325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C56A7B"/>
    <w:multiLevelType w:val="hybridMultilevel"/>
    <w:tmpl w:val="8FCC134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59C0608C"/>
    <w:multiLevelType w:val="hybridMultilevel"/>
    <w:tmpl w:val="C5167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BC20F1"/>
    <w:multiLevelType w:val="hybridMultilevel"/>
    <w:tmpl w:val="CEA4F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68532E"/>
    <w:multiLevelType w:val="hybridMultilevel"/>
    <w:tmpl w:val="986E1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997081"/>
    <w:multiLevelType w:val="hybridMultilevel"/>
    <w:tmpl w:val="A36C0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CD6078"/>
    <w:multiLevelType w:val="hybridMultilevel"/>
    <w:tmpl w:val="57942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0"/>
  </w:num>
  <w:num w:numId="22">
    <w:abstractNumId w:val="13"/>
  </w:num>
  <w:num w:numId="23">
    <w:abstractNumId w:val="1"/>
  </w:num>
  <w:num w:numId="24">
    <w:abstractNumId w:val="7"/>
  </w:num>
  <w:num w:numId="25">
    <w:abstractNumId w:val="9"/>
  </w:num>
  <w:num w:numId="26">
    <w:abstractNumId w:val="6"/>
  </w:num>
  <w:num w:numId="27">
    <w:abstractNumId w:val="4"/>
  </w:num>
  <w:num w:numId="28">
    <w:abstractNumId w:val="2"/>
  </w:num>
  <w:num w:numId="29">
    <w:abstractNumId w:val="5"/>
  </w:num>
  <w:num w:numId="30">
    <w:abstractNumId w:val="3"/>
  </w:num>
  <w:num w:numId="31">
    <w:abstractNumId w:val="10"/>
  </w:num>
  <w:num w:numId="32">
    <w:abstractNumId w:val="12"/>
  </w:num>
  <w:num w:numId="33">
    <w:abstractNumId w:val="11"/>
  </w:num>
  <w:num w:numId="34">
    <w:abstractNumId w:val="15"/>
  </w:num>
  <w:num w:numId="35">
    <w:abstractNumId w:val="16"/>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AD3"/>
    <w:rsid w:val="0000510E"/>
    <w:rsid w:val="000135BB"/>
    <w:rsid w:val="00020DF3"/>
    <w:rsid w:val="0002159E"/>
    <w:rsid w:val="00026699"/>
    <w:rsid w:val="00027504"/>
    <w:rsid w:val="00030D51"/>
    <w:rsid w:val="0003667E"/>
    <w:rsid w:val="00043FD5"/>
    <w:rsid w:val="00046873"/>
    <w:rsid w:val="00055650"/>
    <w:rsid w:val="00066924"/>
    <w:rsid w:val="0008567A"/>
    <w:rsid w:val="00091A6A"/>
    <w:rsid w:val="000940C0"/>
    <w:rsid w:val="0009419E"/>
    <w:rsid w:val="00095A32"/>
    <w:rsid w:val="0009776F"/>
    <w:rsid w:val="000A63B0"/>
    <w:rsid w:val="000B0FED"/>
    <w:rsid w:val="000B12F1"/>
    <w:rsid w:val="000B706C"/>
    <w:rsid w:val="000C68B0"/>
    <w:rsid w:val="000D004B"/>
    <w:rsid w:val="000D6BC5"/>
    <w:rsid w:val="000E4AA6"/>
    <w:rsid w:val="001142AB"/>
    <w:rsid w:val="00122840"/>
    <w:rsid w:val="00125C71"/>
    <w:rsid w:val="0012614E"/>
    <w:rsid w:val="00127048"/>
    <w:rsid w:val="00130ACE"/>
    <w:rsid w:val="00136C0D"/>
    <w:rsid w:val="00171B4F"/>
    <w:rsid w:val="001807C0"/>
    <w:rsid w:val="00182930"/>
    <w:rsid w:val="00191A4C"/>
    <w:rsid w:val="001963DE"/>
    <w:rsid w:val="001A44C8"/>
    <w:rsid w:val="001C1722"/>
    <w:rsid w:val="001D2F2C"/>
    <w:rsid w:val="001E44D9"/>
    <w:rsid w:val="001E614D"/>
    <w:rsid w:val="00202885"/>
    <w:rsid w:val="00211EF0"/>
    <w:rsid w:val="002216C6"/>
    <w:rsid w:val="00223ED2"/>
    <w:rsid w:val="00227F68"/>
    <w:rsid w:val="00230DD7"/>
    <w:rsid w:val="00233E70"/>
    <w:rsid w:val="0023798B"/>
    <w:rsid w:val="00240A2B"/>
    <w:rsid w:val="00241667"/>
    <w:rsid w:val="00241FBA"/>
    <w:rsid w:val="00251CDF"/>
    <w:rsid w:val="00254CDD"/>
    <w:rsid w:val="002552C1"/>
    <w:rsid w:val="00272008"/>
    <w:rsid w:val="002834AC"/>
    <w:rsid w:val="00283ED5"/>
    <w:rsid w:val="002A4D91"/>
    <w:rsid w:val="002B0C80"/>
    <w:rsid w:val="002B2680"/>
    <w:rsid w:val="002D2905"/>
    <w:rsid w:val="002D7FA4"/>
    <w:rsid w:val="002E3D38"/>
    <w:rsid w:val="00301482"/>
    <w:rsid w:val="00305AA4"/>
    <w:rsid w:val="00321C75"/>
    <w:rsid w:val="00327424"/>
    <w:rsid w:val="003338EC"/>
    <w:rsid w:val="00334F79"/>
    <w:rsid w:val="00335514"/>
    <w:rsid w:val="0034022E"/>
    <w:rsid w:val="003434F7"/>
    <w:rsid w:val="00344F15"/>
    <w:rsid w:val="00351321"/>
    <w:rsid w:val="003547E7"/>
    <w:rsid w:val="00356824"/>
    <w:rsid w:val="00356C8C"/>
    <w:rsid w:val="003613F8"/>
    <w:rsid w:val="00361800"/>
    <w:rsid w:val="00381D4E"/>
    <w:rsid w:val="003868E6"/>
    <w:rsid w:val="003C0BFC"/>
    <w:rsid w:val="003C753A"/>
    <w:rsid w:val="003F2EAA"/>
    <w:rsid w:val="004058A0"/>
    <w:rsid w:val="00405956"/>
    <w:rsid w:val="00405B1D"/>
    <w:rsid w:val="00413EF6"/>
    <w:rsid w:val="00421377"/>
    <w:rsid w:val="00430E08"/>
    <w:rsid w:val="00437995"/>
    <w:rsid w:val="00437AEF"/>
    <w:rsid w:val="00440E9A"/>
    <w:rsid w:val="004457BB"/>
    <w:rsid w:val="00452D95"/>
    <w:rsid w:val="00455280"/>
    <w:rsid w:val="004570E3"/>
    <w:rsid w:val="004653E5"/>
    <w:rsid w:val="00483144"/>
    <w:rsid w:val="0049029F"/>
    <w:rsid w:val="0049541D"/>
    <w:rsid w:val="00497FD4"/>
    <w:rsid w:val="004A0414"/>
    <w:rsid w:val="004A6645"/>
    <w:rsid w:val="004B5AFE"/>
    <w:rsid w:val="004C29BD"/>
    <w:rsid w:val="004D6D20"/>
    <w:rsid w:val="004E5D29"/>
    <w:rsid w:val="004F1107"/>
    <w:rsid w:val="00501ED4"/>
    <w:rsid w:val="00507763"/>
    <w:rsid w:val="00514E16"/>
    <w:rsid w:val="005210FA"/>
    <w:rsid w:val="00521B4C"/>
    <w:rsid w:val="00522796"/>
    <w:rsid w:val="00526755"/>
    <w:rsid w:val="00527597"/>
    <w:rsid w:val="005331BE"/>
    <w:rsid w:val="00536811"/>
    <w:rsid w:val="00556038"/>
    <w:rsid w:val="00561DB0"/>
    <w:rsid w:val="0056701D"/>
    <w:rsid w:val="00575197"/>
    <w:rsid w:val="00581908"/>
    <w:rsid w:val="005819DB"/>
    <w:rsid w:val="005870BB"/>
    <w:rsid w:val="0058727D"/>
    <w:rsid w:val="005919BF"/>
    <w:rsid w:val="00594D70"/>
    <w:rsid w:val="005A194F"/>
    <w:rsid w:val="005A1D48"/>
    <w:rsid w:val="005B58E4"/>
    <w:rsid w:val="005C5B24"/>
    <w:rsid w:val="005C6ECF"/>
    <w:rsid w:val="005D4642"/>
    <w:rsid w:val="005D667D"/>
    <w:rsid w:val="005E184C"/>
    <w:rsid w:val="005E2AAE"/>
    <w:rsid w:val="005F5396"/>
    <w:rsid w:val="005F6075"/>
    <w:rsid w:val="00600ED9"/>
    <w:rsid w:val="00610896"/>
    <w:rsid w:val="00612D16"/>
    <w:rsid w:val="00625470"/>
    <w:rsid w:val="0062639A"/>
    <w:rsid w:val="006403A1"/>
    <w:rsid w:val="0064349C"/>
    <w:rsid w:val="00653AD3"/>
    <w:rsid w:val="0066381C"/>
    <w:rsid w:val="006646AE"/>
    <w:rsid w:val="006703BD"/>
    <w:rsid w:val="00670462"/>
    <w:rsid w:val="00673BE6"/>
    <w:rsid w:val="00675E8D"/>
    <w:rsid w:val="00677F82"/>
    <w:rsid w:val="0068761D"/>
    <w:rsid w:val="0069461F"/>
    <w:rsid w:val="006B6D4B"/>
    <w:rsid w:val="006B7A12"/>
    <w:rsid w:val="006E741D"/>
    <w:rsid w:val="006F5B19"/>
    <w:rsid w:val="00700512"/>
    <w:rsid w:val="00700C2B"/>
    <w:rsid w:val="00706F7B"/>
    <w:rsid w:val="007125F0"/>
    <w:rsid w:val="007251F7"/>
    <w:rsid w:val="00732F8C"/>
    <w:rsid w:val="007352A9"/>
    <w:rsid w:val="00740703"/>
    <w:rsid w:val="00742382"/>
    <w:rsid w:val="00756102"/>
    <w:rsid w:val="00760251"/>
    <w:rsid w:val="00763FFC"/>
    <w:rsid w:val="00773974"/>
    <w:rsid w:val="00773FFE"/>
    <w:rsid w:val="007741C7"/>
    <w:rsid w:val="0077649D"/>
    <w:rsid w:val="00780FB2"/>
    <w:rsid w:val="00785A54"/>
    <w:rsid w:val="007865C0"/>
    <w:rsid w:val="00797177"/>
    <w:rsid w:val="007D1313"/>
    <w:rsid w:val="007D3B5E"/>
    <w:rsid w:val="007D7D8D"/>
    <w:rsid w:val="007F6927"/>
    <w:rsid w:val="008239CB"/>
    <w:rsid w:val="0083430E"/>
    <w:rsid w:val="008347FE"/>
    <w:rsid w:val="008519AD"/>
    <w:rsid w:val="00864A8D"/>
    <w:rsid w:val="00877225"/>
    <w:rsid w:val="008A0A78"/>
    <w:rsid w:val="008A107A"/>
    <w:rsid w:val="008A1582"/>
    <w:rsid w:val="008B121B"/>
    <w:rsid w:val="008B14A0"/>
    <w:rsid w:val="008B5008"/>
    <w:rsid w:val="008C031E"/>
    <w:rsid w:val="008C4B5A"/>
    <w:rsid w:val="008D3067"/>
    <w:rsid w:val="008E2329"/>
    <w:rsid w:val="008F4BA6"/>
    <w:rsid w:val="008F708F"/>
    <w:rsid w:val="009055A5"/>
    <w:rsid w:val="00913549"/>
    <w:rsid w:val="00923664"/>
    <w:rsid w:val="00935EB2"/>
    <w:rsid w:val="00937CC7"/>
    <w:rsid w:val="0094449D"/>
    <w:rsid w:val="00947886"/>
    <w:rsid w:val="00961E57"/>
    <w:rsid w:val="00983DCD"/>
    <w:rsid w:val="00985615"/>
    <w:rsid w:val="00992B31"/>
    <w:rsid w:val="009A0900"/>
    <w:rsid w:val="009C1634"/>
    <w:rsid w:val="009C5084"/>
    <w:rsid w:val="009D12E8"/>
    <w:rsid w:val="009D1751"/>
    <w:rsid w:val="009D5463"/>
    <w:rsid w:val="009F3D41"/>
    <w:rsid w:val="00A03BE1"/>
    <w:rsid w:val="00A07776"/>
    <w:rsid w:val="00A10536"/>
    <w:rsid w:val="00A12540"/>
    <w:rsid w:val="00A21B65"/>
    <w:rsid w:val="00A2642D"/>
    <w:rsid w:val="00A32A14"/>
    <w:rsid w:val="00A330C0"/>
    <w:rsid w:val="00A33798"/>
    <w:rsid w:val="00A434BD"/>
    <w:rsid w:val="00A52034"/>
    <w:rsid w:val="00A53267"/>
    <w:rsid w:val="00A5414A"/>
    <w:rsid w:val="00A63177"/>
    <w:rsid w:val="00A706BC"/>
    <w:rsid w:val="00A73FE1"/>
    <w:rsid w:val="00A81164"/>
    <w:rsid w:val="00A84DEB"/>
    <w:rsid w:val="00A94772"/>
    <w:rsid w:val="00AB468C"/>
    <w:rsid w:val="00AB4789"/>
    <w:rsid w:val="00AC6BC5"/>
    <w:rsid w:val="00AD181B"/>
    <w:rsid w:val="00AD314D"/>
    <w:rsid w:val="00AF1C1B"/>
    <w:rsid w:val="00B01CE2"/>
    <w:rsid w:val="00B119E7"/>
    <w:rsid w:val="00B20808"/>
    <w:rsid w:val="00B36C92"/>
    <w:rsid w:val="00B4637C"/>
    <w:rsid w:val="00B55F13"/>
    <w:rsid w:val="00B926F7"/>
    <w:rsid w:val="00B93A6E"/>
    <w:rsid w:val="00B947C9"/>
    <w:rsid w:val="00BC1F96"/>
    <w:rsid w:val="00BC2DCC"/>
    <w:rsid w:val="00BC6BAD"/>
    <w:rsid w:val="00BD348A"/>
    <w:rsid w:val="00BE15D4"/>
    <w:rsid w:val="00BE3408"/>
    <w:rsid w:val="00BE3F3F"/>
    <w:rsid w:val="00BE74FC"/>
    <w:rsid w:val="00BF6EC4"/>
    <w:rsid w:val="00C02BFF"/>
    <w:rsid w:val="00C02F97"/>
    <w:rsid w:val="00C03B27"/>
    <w:rsid w:val="00C0697A"/>
    <w:rsid w:val="00C10266"/>
    <w:rsid w:val="00C3486F"/>
    <w:rsid w:val="00C350CA"/>
    <w:rsid w:val="00C41EFC"/>
    <w:rsid w:val="00C45A67"/>
    <w:rsid w:val="00C60A73"/>
    <w:rsid w:val="00C8179C"/>
    <w:rsid w:val="00C87FBC"/>
    <w:rsid w:val="00CA01F8"/>
    <w:rsid w:val="00CC2FF0"/>
    <w:rsid w:val="00CC3128"/>
    <w:rsid w:val="00CD5C5C"/>
    <w:rsid w:val="00CD6462"/>
    <w:rsid w:val="00CE5645"/>
    <w:rsid w:val="00CE6398"/>
    <w:rsid w:val="00D00479"/>
    <w:rsid w:val="00D04B31"/>
    <w:rsid w:val="00D11A2E"/>
    <w:rsid w:val="00D20B0B"/>
    <w:rsid w:val="00D215BA"/>
    <w:rsid w:val="00D25B66"/>
    <w:rsid w:val="00D33E75"/>
    <w:rsid w:val="00D40750"/>
    <w:rsid w:val="00D41D86"/>
    <w:rsid w:val="00D57711"/>
    <w:rsid w:val="00D57D94"/>
    <w:rsid w:val="00D727F2"/>
    <w:rsid w:val="00D74A00"/>
    <w:rsid w:val="00D77865"/>
    <w:rsid w:val="00D848A0"/>
    <w:rsid w:val="00DA74A1"/>
    <w:rsid w:val="00DB16C6"/>
    <w:rsid w:val="00DB7D54"/>
    <w:rsid w:val="00DD0F30"/>
    <w:rsid w:val="00DD4FF3"/>
    <w:rsid w:val="00DF36A4"/>
    <w:rsid w:val="00E055F0"/>
    <w:rsid w:val="00E11520"/>
    <w:rsid w:val="00E13613"/>
    <w:rsid w:val="00E16E6A"/>
    <w:rsid w:val="00E24DFA"/>
    <w:rsid w:val="00E2636D"/>
    <w:rsid w:val="00E33A49"/>
    <w:rsid w:val="00E41693"/>
    <w:rsid w:val="00E47A3B"/>
    <w:rsid w:val="00E53540"/>
    <w:rsid w:val="00E53856"/>
    <w:rsid w:val="00E61086"/>
    <w:rsid w:val="00E810CF"/>
    <w:rsid w:val="00E83212"/>
    <w:rsid w:val="00E841EE"/>
    <w:rsid w:val="00E91B06"/>
    <w:rsid w:val="00EA134C"/>
    <w:rsid w:val="00EA7027"/>
    <w:rsid w:val="00EA77AD"/>
    <w:rsid w:val="00EB0CD7"/>
    <w:rsid w:val="00EB4312"/>
    <w:rsid w:val="00EC1E4E"/>
    <w:rsid w:val="00EC2645"/>
    <w:rsid w:val="00ED0AF6"/>
    <w:rsid w:val="00ED0DDC"/>
    <w:rsid w:val="00ED194A"/>
    <w:rsid w:val="00ED7FED"/>
    <w:rsid w:val="00EE28B5"/>
    <w:rsid w:val="00F0498C"/>
    <w:rsid w:val="00F15258"/>
    <w:rsid w:val="00F239DA"/>
    <w:rsid w:val="00F2417D"/>
    <w:rsid w:val="00F25EF6"/>
    <w:rsid w:val="00F26AA6"/>
    <w:rsid w:val="00F31CD3"/>
    <w:rsid w:val="00F411D7"/>
    <w:rsid w:val="00F412D4"/>
    <w:rsid w:val="00F501AA"/>
    <w:rsid w:val="00F561D7"/>
    <w:rsid w:val="00F57704"/>
    <w:rsid w:val="00F61527"/>
    <w:rsid w:val="00F61989"/>
    <w:rsid w:val="00F622F7"/>
    <w:rsid w:val="00F63CF7"/>
    <w:rsid w:val="00F648B6"/>
    <w:rsid w:val="00F65984"/>
    <w:rsid w:val="00F80D20"/>
    <w:rsid w:val="00F9109B"/>
    <w:rsid w:val="00F918E5"/>
    <w:rsid w:val="00FA0CA2"/>
    <w:rsid w:val="00FA3251"/>
    <w:rsid w:val="00FA7748"/>
    <w:rsid w:val="00FB21AD"/>
    <w:rsid w:val="00FB7BF7"/>
    <w:rsid w:val="00FB7DCE"/>
    <w:rsid w:val="00FC0EEC"/>
    <w:rsid w:val="00FD4C81"/>
    <w:rsid w:val="00FD516F"/>
    <w:rsid w:val="00FE7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B13957"/>
  <w14:defaultImageDpi w14:val="32767"/>
  <w15:chartTrackingRefBased/>
  <w15:docId w15:val="{8CF64046-5A0D-B74A-A4C7-EC07CA3D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GB" w:eastAsia="en-US" w:bidi="ar-SA"/>
      </w:rPr>
    </w:rPrDefault>
    <w:pPrDefault>
      <w:pPr>
        <w:spacing w:before="240" w:after="240" w:line="360"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53AD3"/>
  </w:style>
  <w:style w:type="paragraph" w:styleId="Heading1">
    <w:name w:val="heading 1"/>
    <w:basedOn w:val="Normal"/>
    <w:next w:val="Normal"/>
    <w:link w:val="Heading1Char"/>
    <w:autoRedefine/>
    <w:uiPriority w:val="9"/>
    <w:qFormat/>
    <w:rsid w:val="00EB4312"/>
    <w:pPr>
      <w:keepNext/>
      <w:keepLines/>
      <w:numPr>
        <w:numId w:val="18"/>
      </w:numPr>
      <w:outlineLvl w:val="0"/>
    </w:pPr>
    <w:rPr>
      <w:rFonts w:eastAsiaTheme="majorEastAsia" w:cstheme="majorBidi"/>
      <w:b/>
      <w:color w:val="000000" w:themeColor="text1"/>
      <w:szCs w:val="32"/>
    </w:rPr>
  </w:style>
  <w:style w:type="paragraph" w:styleId="Heading2">
    <w:name w:val="heading 2"/>
    <w:basedOn w:val="Normal"/>
    <w:next w:val="Normal"/>
    <w:link w:val="Heading2Char"/>
    <w:autoRedefine/>
    <w:uiPriority w:val="9"/>
    <w:unhideWhenUsed/>
    <w:qFormat/>
    <w:rsid w:val="00EB4312"/>
    <w:pPr>
      <w:keepNext/>
      <w:keepLines/>
      <w:numPr>
        <w:ilvl w:val="1"/>
        <w:numId w:val="20"/>
      </w:numPr>
      <w:spacing w:before="360" w:after="360"/>
      <w:outlineLvl w:val="1"/>
    </w:pPr>
    <w:rPr>
      <w:rFonts w:eastAsiaTheme="majorEastAsia" w:cstheme="majorBidi"/>
      <w:color w:val="000000" w:themeColor="text1"/>
      <w:szCs w:val="26"/>
      <w:u w:val="single"/>
    </w:rPr>
  </w:style>
  <w:style w:type="paragraph" w:styleId="Heading3">
    <w:name w:val="heading 3"/>
    <w:basedOn w:val="Normal"/>
    <w:next w:val="Normal"/>
    <w:link w:val="Heading3Char"/>
    <w:autoRedefine/>
    <w:uiPriority w:val="9"/>
    <w:unhideWhenUsed/>
    <w:qFormat/>
    <w:rsid w:val="00877225"/>
    <w:pPr>
      <w:keepNext/>
      <w:keepLines/>
      <w:ind w:left="0" w:firstLine="0"/>
      <w:outlineLvl w:val="2"/>
    </w:pPr>
    <w:rPr>
      <w:rFonts w:asciiTheme="majorHAnsi" w:eastAsiaTheme="majorEastAsia" w:hAnsiTheme="majorHAnsi" w:cstheme="majorBidi"/>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312"/>
    <w:rPr>
      <w:rFonts w:eastAsiaTheme="majorEastAsia" w:cstheme="majorBidi"/>
      <w:b/>
      <w:color w:val="000000" w:themeColor="text1"/>
      <w:szCs w:val="32"/>
    </w:rPr>
  </w:style>
  <w:style w:type="paragraph" w:styleId="List">
    <w:name w:val="List"/>
    <w:basedOn w:val="Normal"/>
    <w:uiPriority w:val="99"/>
    <w:semiHidden/>
    <w:unhideWhenUsed/>
    <w:rsid w:val="00AD181B"/>
    <w:pPr>
      <w:ind w:left="283" w:hanging="283"/>
      <w:contextualSpacing/>
    </w:pPr>
  </w:style>
  <w:style w:type="character" w:customStyle="1" w:styleId="Heading3Char">
    <w:name w:val="Heading 3 Char"/>
    <w:basedOn w:val="DefaultParagraphFont"/>
    <w:link w:val="Heading3"/>
    <w:uiPriority w:val="9"/>
    <w:rsid w:val="00877225"/>
    <w:rPr>
      <w:rFonts w:asciiTheme="majorHAnsi" w:eastAsiaTheme="majorEastAsia" w:hAnsiTheme="majorHAnsi" w:cstheme="majorBidi"/>
      <w:color w:val="000000" w:themeColor="text1"/>
      <w:kern w:val="0"/>
      <w:u w:val="single"/>
    </w:rPr>
  </w:style>
  <w:style w:type="character" w:customStyle="1" w:styleId="Heading2Char">
    <w:name w:val="Heading 2 Char"/>
    <w:basedOn w:val="DefaultParagraphFont"/>
    <w:link w:val="Heading2"/>
    <w:uiPriority w:val="9"/>
    <w:rsid w:val="00EB4312"/>
    <w:rPr>
      <w:rFonts w:eastAsiaTheme="majorEastAsia" w:cstheme="majorBidi"/>
      <w:color w:val="000000" w:themeColor="text1"/>
      <w:szCs w:val="26"/>
      <w:u w:val="single"/>
    </w:rPr>
  </w:style>
  <w:style w:type="paragraph" w:styleId="Title">
    <w:name w:val="Title"/>
    <w:basedOn w:val="Normal"/>
    <w:next w:val="Normal"/>
    <w:link w:val="TitleChar"/>
    <w:autoRedefine/>
    <w:uiPriority w:val="10"/>
    <w:qFormat/>
    <w:rsid w:val="00937CC7"/>
    <w:pPr>
      <w:ind w:left="0" w:firstLine="0"/>
      <w:jc w:val="center"/>
    </w:pPr>
    <w:rPr>
      <w:rFonts w:asciiTheme="majorHAnsi" w:eastAsiaTheme="majorEastAsia" w:hAnsiTheme="majorHAnsi" w:cstheme="majorBidi"/>
      <w:b/>
      <w:spacing w:val="-10"/>
      <w:kern w:val="28"/>
      <w:sz w:val="32"/>
      <w:szCs w:val="56"/>
      <w:u w:val="single"/>
    </w:rPr>
  </w:style>
  <w:style w:type="character" w:customStyle="1" w:styleId="TitleChar">
    <w:name w:val="Title Char"/>
    <w:basedOn w:val="DefaultParagraphFont"/>
    <w:link w:val="Title"/>
    <w:uiPriority w:val="10"/>
    <w:rsid w:val="00937CC7"/>
    <w:rPr>
      <w:rFonts w:asciiTheme="majorHAnsi" w:eastAsiaTheme="majorEastAsia" w:hAnsiTheme="majorHAnsi" w:cstheme="majorBidi"/>
      <w:b/>
      <w:spacing w:val="-10"/>
      <w:kern w:val="28"/>
      <w:sz w:val="32"/>
      <w:szCs w:val="56"/>
      <w:u w:val="single"/>
    </w:rPr>
  </w:style>
  <w:style w:type="paragraph" w:styleId="ListParagraph">
    <w:name w:val="List Paragraph"/>
    <w:basedOn w:val="Normal"/>
    <w:uiPriority w:val="34"/>
    <w:qFormat/>
    <w:rsid w:val="00653AD3"/>
    <w:pPr>
      <w:ind w:left="720"/>
      <w:contextualSpacing/>
    </w:pPr>
  </w:style>
  <w:style w:type="paragraph" w:styleId="FootnoteText">
    <w:name w:val="footnote text"/>
    <w:basedOn w:val="Normal"/>
    <w:link w:val="FootnoteTextChar"/>
    <w:uiPriority w:val="99"/>
    <w:semiHidden/>
    <w:unhideWhenUsed/>
    <w:rsid w:val="00653AD3"/>
    <w:pPr>
      <w:spacing w:before="0" w:after="0" w:line="240" w:lineRule="auto"/>
      <w:ind w:left="0" w:firstLine="0"/>
    </w:pPr>
    <w:rPr>
      <w:kern w:val="16"/>
      <w:sz w:val="20"/>
      <w:szCs w:val="20"/>
    </w:rPr>
  </w:style>
  <w:style w:type="character" w:customStyle="1" w:styleId="FootnoteTextChar">
    <w:name w:val="Footnote Text Char"/>
    <w:basedOn w:val="DefaultParagraphFont"/>
    <w:link w:val="FootnoteText"/>
    <w:uiPriority w:val="99"/>
    <w:semiHidden/>
    <w:rsid w:val="00653AD3"/>
    <w:rPr>
      <w:kern w:val="16"/>
      <w:sz w:val="20"/>
      <w:szCs w:val="20"/>
    </w:rPr>
  </w:style>
  <w:style w:type="character" w:styleId="FootnoteReference">
    <w:name w:val="footnote reference"/>
    <w:basedOn w:val="DefaultParagraphFont"/>
    <w:uiPriority w:val="99"/>
    <w:semiHidden/>
    <w:unhideWhenUsed/>
    <w:rsid w:val="00653AD3"/>
    <w:rPr>
      <w:vertAlign w:val="superscript"/>
    </w:rPr>
  </w:style>
  <w:style w:type="paragraph" w:styleId="Footer">
    <w:name w:val="footer"/>
    <w:basedOn w:val="Normal"/>
    <w:link w:val="FooterChar"/>
    <w:uiPriority w:val="99"/>
    <w:unhideWhenUsed/>
    <w:rsid w:val="00DF36A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F36A4"/>
  </w:style>
  <w:style w:type="character" w:styleId="PageNumber">
    <w:name w:val="page number"/>
    <w:basedOn w:val="DefaultParagraphFont"/>
    <w:uiPriority w:val="99"/>
    <w:semiHidden/>
    <w:unhideWhenUsed/>
    <w:rsid w:val="00DF36A4"/>
  </w:style>
  <w:style w:type="character" w:styleId="Hyperlink">
    <w:name w:val="Hyperlink"/>
    <w:basedOn w:val="DefaultParagraphFont"/>
    <w:uiPriority w:val="99"/>
    <w:unhideWhenUsed/>
    <w:rsid w:val="00CE5645"/>
    <w:rPr>
      <w:color w:val="0563C1" w:themeColor="hyperlink"/>
      <w:u w:val="single"/>
    </w:rPr>
  </w:style>
  <w:style w:type="character" w:styleId="UnresolvedMention">
    <w:name w:val="Unresolved Mention"/>
    <w:basedOn w:val="DefaultParagraphFont"/>
    <w:uiPriority w:val="99"/>
    <w:rsid w:val="00CE56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eeton@12kbw.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506</TotalTime>
  <Pages>10</Pages>
  <Words>2728</Words>
  <Characters>15553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Beeton</dc:creator>
  <cp:keywords/>
  <dc:description/>
  <cp:lastModifiedBy>James Beeton</cp:lastModifiedBy>
  <cp:revision>341</cp:revision>
  <dcterms:created xsi:type="dcterms:W3CDTF">2019-11-30T13:34:00Z</dcterms:created>
  <dcterms:modified xsi:type="dcterms:W3CDTF">2019-12-01T11:55:00Z</dcterms:modified>
</cp:coreProperties>
</file>