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58684" w14:textId="0062F291" w:rsidR="00F706B9" w:rsidRPr="00046CF1" w:rsidRDefault="00F706B9" w:rsidP="00935129">
      <w:pPr>
        <w:spacing w:line="360" w:lineRule="auto"/>
        <w:jc w:val="center"/>
        <w:rPr>
          <w:rFonts w:ascii="Times New Roman" w:hAnsi="Times New Roman" w:cs="Times New Roman"/>
          <w:b/>
          <w:sz w:val="24"/>
          <w:szCs w:val="24"/>
          <w:u w:val="single"/>
        </w:rPr>
      </w:pPr>
      <w:r w:rsidRPr="00046CF1">
        <w:rPr>
          <w:rFonts w:ascii="Times New Roman" w:hAnsi="Times New Roman" w:cs="Times New Roman"/>
          <w:b/>
          <w:sz w:val="24"/>
          <w:szCs w:val="24"/>
          <w:u w:val="single"/>
        </w:rPr>
        <w:t>“</w:t>
      </w:r>
      <w:r w:rsidRPr="00046CF1">
        <w:rPr>
          <w:rFonts w:ascii="Times New Roman" w:hAnsi="Times New Roman" w:cs="Times New Roman"/>
          <w:b/>
          <w:i/>
          <w:sz w:val="24"/>
          <w:szCs w:val="24"/>
          <w:u w:val="single"/>
        </w:rPr>
        <w:t xml:space="preserve">Forum non conveniens: </w:t>
      </w:r>
      <w:r w:rsidRPr="00046CF1">
        <w:rPr>
          <w:rFonts w:ascii="Times New Roman" w:hAnsi="Times New Roman" w:cs="Times New Roman"/>
          <w:b/>
          <w:sz w:val="24"/>
          <w:szCs w:val="24"/>
          <w:u w:val="single"/>
        </w:rPr>
        <w:t xml:space="preserve">Is </w:t>
      </w:r>
      <w:r w:rsidRPr="00046CF1">
        <w:rPr>
          <w:rFonts w:ascii="Times New Roman" w:hAnsi="Times New Roman" w:cs="Times New Roman"/>
          <w:b/>
          <w:i/>
          <w:sz w:val="24"/>
          <w:szCs w:val="24"/>
          <w:u w:val="single"/>
        </w:rPr>
        <w:t xml:space="preserve">Spiliada </w:t>
      </w:r>
      <w:r w:rsidRPr="00046CF1">
        <w:rPr>
          <w:rFonts w:ascii="Times New Roman" w:hAnsi="Times New Roman" w:cs="Times New Roman"/>
          <w:b/>
          <w:sz w:val="24"/>
          <w:szCs w:val="24"/>
          <w:u w:val="single"/>
        </w:rPr>
        <w:t>still fit for purpose or holed below the water-line?”</w:t>
      </w:r>
    </w:p>
    <w:p w14:paraId="5877E038" w14:textId="68E486D1" w:rsidR="00560FE0" w:rsidRPr="00560FE0" w:rsidRDefault="00560FE0" w:rsidP="00046CF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46AF26E4" w14:textId="0E71BCB9" w:rsidR="00D349E7" w:rsidRPr="00046CF1" w:rsidRDefault="004A34CD" w:rsidP="00046CF1">
      <w:pPr>
        <w:spacing w:line="360" w:lineRule="auto"/>
        <w:rPr>
          <w:rFonts w:ascii="Times New Roman" w:hAnsi="Times New Roman" w:cs="Times New Roman"/>
          <w:i/>
          <w:sz w:val="24"/>
          <w:szCs w:val="24"/>
        </w:rPr>
      </w:pPr>
      <w:r w:rsidRPr="00046CF1">
        <w:rPr>
          <w:rFonts w:ascii="Times New Roman" w:hAnsi="Times New Roman" w:cs="Times New Roman"/>
          <w:sz w:val="24"/>
          <w:szCs w:val="24"/>
        </w:rPr>
        <w:t xml:space="preserve">Since 1986, the case of </w:t>
      </w:r>
      <w:r w:rsidRPr="00046CF1">
        <w:rPr>
          <w:rFonts w:ascii="Times New Roman" w:hAnsi="Times New Roman" w:cs="Times New Roman"/>
          <w:i/>
          <w:sz w:val="24"/>
          <w:szCs w:val="24"/>
        </w:rPr>
        <w:t>Spiliada Maritime Corporation</w:t>
      </w:r>
      <w:r w:rsidR="008E4383" w:rsidRPr="00046CF1">
        <w:rPr>
          <w:rFonts w:ascii="Times New Roman" w:hAnsi="Times New Roman" w:cs="Times New Roman"/>
          <w:i/>
          <w:sz w:val="24"/>
          <w:szCs w:val="24"/>
        </w:rPr>
        <w:t xml:space="preserve"> v Cansulex Ltd </w:t>
      </w:r>
      <w:r w:rsidR="008E4383" w:rsidRPr="00046CF1">
        <w:rPr>
          <w:rFonts w:ascii="Times New Roman" w:hAnsi="Times New Roman" w:cs="Times New Roman"/>
          <w:sz w:val="24"/>
          <w:szCs w:val="24"/>
        </w:rPr>
        <w:t xml:space="preserve">[1987] </w:t>
      </w:r>
      <w:r w:rsidR="004D06BD" w:rsidRPr="00046CF1">
        <w:rPr>
          <w:rFonts w:ascii="Times New Roman" w:hAnsi="Times New Roman" w:cs="Times New Roman"/>
          <w:sz w:val="24"/>
          <w:szCs w:val="24"/>
        </w:rPr>
        <w:t xml:space="preserve">AC 460 </w:t>
      </w:r>
      <w:r w:rsidR="008E4383" w:rsidRPr="00046CF1">
        <w:rPr>
          <w:rFonts w:ascii="Times New Roman" w:hAnsi="Times New Roman" w:cs="Times New Roman"/>
          <w:sz w:val="24"/>
          <w:szCs w:val="24"/>
        </w:rPr>
        <w:t xml:space="preserve">has provided the definitive English law guideline on </w:t>
      </w:r>
      <w:r w:rsidR="008E4383" w:rsidRPr="00046CF1">
        <w:rPr>
          <w:rFonts w:ascii="Times New Roman" w:hAnsi="Times New Roman" w:cs="Times New Roman"/>
          <w:i/>
          <w:sz w:val="24"/>
          <w:szCs w:val="24"/>
        </w:rPr>
        <w:t>forum non conveniens</w:t>
      </w:r>
      <w:r w:rsidR="008E4383" w:rsidRPr="00046CF1">
        <w:rPr>
          <w:rFonts w:ascii="Times New Roman" w:hAnsi="Times New Roman" w:cs="Times New Roman"/>
          <w:sz w:val="24"/>
          <w:szCs w:val="24"/>
        </w:rPr>
        <w:t xml:space="preserve">. </w:t>
      </w:r>
      <w:r w:rsidR="00A71365" w:rsidRPr="00046CF1">
        <w:rPr>
          <w:rFonts w:ascii="Times New Roman" w:hAnsi="Times New Roman" w:cs="Times New Roman"/>
          <w:i/>
          <w:sz w:val="24"/>
          <w:szCs w:val="24"/>
        </w:rPr>
        <w:t xml:space="preserve"> </w:t>
      </w:r>
      <w:r w:rsidR="00D349E7" w:rsidRPr="00046CF1">
        <w:rPr>
          <w:rFonts w:ascii="Times New Roman" w:hAnsi="Times New Roman" w:cs="Times New Roman"/>
          <w:sz w:val="24"/>
          <w:szCs w:val="24"/>
        </w:rPr>
        <w:t xml:space="preserve">The fundamental principle in </w:t>
      </w:r>
      <w:r w:rsidR="00D349E7" w:rsidRPr="00046CF1">
        <w:rPr>
          <w:rFonts w:ascii="Times New Roman" w:hAnsi="Times New Roman" w:cs="Times New Roman"/>
          <w:i/>
          <w:sz w:val="24"/>
          <w:szCs w:val="24"/>
        </w:rPr>
        <w:t>Spiliada</w:t>
      </w:r>
      <w:r w:rsidR="00D349E7" w:rsidRPr="00046CF1">
        <w:rPr>
          <w:rFonts w:ascii="Times New Roman" w:hAnsi="Times New Roman" w:cs="Times New Roman"/>
          <w:sz w:val="24"/>
          <w:szCs w:val="24"/>
        </w:rPr>
        <w:t xml:space="preserve"> is set out by Lord Goff as:</w:t>
      </w:r>
    </w:p>
    <w:p w14:paraId="04D7E625" w14:textId="4676FF47" w:rsidR="00D349E7" w:rsidRPr="00046CF1" w:rsidRDefault="00D349E7"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w:t>
      </w:r>
      <w:r w:rsidR="00DD0D1D" w:rsidRPr="00046CF1">
        <w:rPr>
          <w:rFonts w:ascii="Times New Roman" w:hAnsi="Times New Roman" w:cs="Times New Roman"/>
          <w:i/>
          <w:sz w:val="24"/>
          <w:szCs w:val="24"/>
        </w:rPr>
        <w:t>a stay will only be granted on the ground of forum non conveniens where the court is satisfied that there is some other available forum, having competent jurisdiction, which is the appropriate forum for the trial of the action, i.e. in which the case may be tried more suitably for the interests</w:t>
      </w:r>
      <w:r w:rsidR="00371EBB" w:rsidRPr="00046CF1">
        <w:rPr>
          <w:rFonts w:ascii="Times New Roman" w:hAnsi="Times New Roman" w:cs="Times New Roman"/>
          <w:i/>
          <w:sz w:val="24"/>
          <w:szCs w:val="24"/>
        </w:rPr>
        <w:t xml:space="preserve"> of all the parties and the ends of justice</w:t>
      </w:r>
      <w:r w:rsidRPr="00046CF1">
        <w:rPr>
          <w:rFonts w:ascii="Times New Roman" w:hAnsi="Times New Roman" w:cs="Times New Roman"/>
          <w:sz w:val="24"/>
          <w:szCs w:val="24"/>
        </w:rPr>
        <w:t>.”</w:t>
      </w:r>
      <w:r w:rsidR="005F1E91">
        <w:rPr>
          <w:rStyle w:val="FootnoteReference"/>
          <w:rFonts w:ascii="Times New Roman" w:hAnsi="Times New Roman" w:cs="Times New Roman"/>
          <w:sz w:val="24"/>
          <w:szCs w:val="24"/>
        </w:rPr>
        <w:footnoteReference w:id="1"/>
      </w:r>
    </w:p>
    <w:p w14:paraId="7B059255" w14:textId="3C61CA24" w:rsidR="00560FE0" w:rsidRDefault="00A71365"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 xml:space="preserve">The </w:t>
      </w:r>
      <w:r w:rsidRPr="00046CF1">
        <w:rPr>
          <w:rFonts w:ascii="Times New Roman" w:hAnsi="Times New Roman" w:cs="Times New Roman"/>
          <w:i/>
          <w:sz w:val="24"/>
          <w:szCs w:val="24"/>
        </w:rPr>
        <w:t>Spiliada</w:t>
      </w:r>
      <w:r w:rsidRPr="00046CF1">
        <w:rPr>
          <w:rFonts w:ascii="Times New Roman" w:hAnsi="Times New Roman" w:cs="Times New Roman"/>
          <w:sz w:val="24"/>
          <w:szCs w:val="24"/>
        </w:rPr>
        <w:t xml:space="preserve"> </w:t>
      </w:r>
      <w:r w:rsidR="00496B55">
        <w:rPr>
          <w:rFonts w:ascii="Times New Roman" w:hAnsi="Times New Roman" w:cs="Times New Roman"/>
          <w:sz w:val="24"/>
          <w:szCs w:val="24"/>
        </w:rPr>
        <w:t xml:space="preserve">decision </w:t>
      </w:r>
      <w:r w:rsidRPr="00046CF1">
        <w:rPr>
          <w:rFonts w:ascii="Times New Roman" w:hAnsi="Times New Roman" w:cs="Times New Roman"/>
          <w:sz w:val="24"/>
          <w:szCs w:val="24"/>
        </w:rPr>
        <w:t>marked</w:t>
      </w:r>
      <w:r w:rsidR="008E4383" w:rsidRPr="00046CF1">
        <w:rPr>
          <w:rFonts w:ascii="Times New Roman" w:hAnsi="Times New Roman" w:cs="Times New Roman"/>
          <w:sz w:val="24"/>
          <w:szCs w:val="24"/>
        </w:rPr>
        <w:t xml:space="preserve"> the final step in a gradual evolution of the law</w:t>
      </w:r>
      <w:r w:rsidR="004D06BD" w:rsidRPr="00046CF1">
        <w:rPr>
          <w:rFonts w:ascii="Times New Roman" w:hAnsi="Times New Roman" w:cs="Times New Roman"/>
          <w:sz w:val="24"/>
          <w:szCs w:val="24"/>
        </w:rPr>
        <w:t xml:space="preserve"> </w:t>
      </w:r>
      <w:r w:rsidRPr="00046CF1">
        <w:rPr>
          <w:rFonts w:ascii="Times New Roman" w:hAnsi="Times New Roman" w:cs="Times New Roman"/>
          <w:sz w:val="24"/>
          <w:szCs w:val="24"/>
        </w:rPr>
        <w:t>over the previous years</w:t>
      </w:r>
      <w:r w:rsidR="00496B55">
        <w:rPr>
          <w:rFonts w:ascii="Times New Roman" w:hAnsi="Times New Roman" w:cs="Times New Roman"/>
          <w:sz w:val="24"/>
          <w:szCs w:val="24"/>
        </w:rPr>
        <w:t xml:space="preserve"> and a reconciliation between the Scottish and English positions on </w:t>
      </w:r>
      <w:r w:rsidR="00496B55">
        <w:rPr>
          <w:rFonts w:ascii="Times New Roman" w:hAnsi="Times New Roman" w:cs="Times New Roman"/>
          <w:i/>
          <w:sz w:val="24"/>
          <w:szCs w:val="24"/>
        </w:rPr>
        <w:t>forum non conveniens</w:t>
      </w:r>
      <w:r w:rsidR="004D06BD" w:rsidRPr="00046CF1">
        <w:rPr>
          <w:rFonts w:ascii="Times New Roman" w:hAnsi="Times New Roman" w:cs="Times New Roman"/>
          <w:sz w:val="24"/>
          <w:szCs w:val="24"/>
        </w:rPr>
        <w:t>.</w:t>
      </w:r>
      <w:r w:rsidRPr="00046CF1">
        <w:rPr>
          <w:rFonts w:ascii="Times New Roman" w:hAnsi="Times New Roman" w:cs="Times New Roman"/>
          <w:sz w:val="24"/>
          <w:szCs w:val="24"/>
        </w:rPr>
        <w:t xml:space="preserve"> </w:t>
      </w:r>
      <w:r w:rsidR="007E4AFB" w:rsidRPr="00046CF1">
        <w:rPr>
          <w:rFonts w:ascii="Times New Roman" w:hAnsi="Times New Roman" w:cs="Times New Roman"/>
          <w:sz w:val="24"/>
          <w:szCs w:val="24"/>
        </w:rPr>
        <w:t xml:space="preserve">Shortly prior to the decision in </w:t>
      </w:r>
      <w:r w:rsidR="007E4AFB" w:rsidRPr="00046CF1">
        <w:rPr>
          <w:rFonts w:ascii="Times New Roman" w:hAnsi="Times New Roman" w:cs="Times New Roman"/>
          <w:i/>
          <w:sz w:val="24"/>
          <w:szCs w:val="24"/>
        </w:rPr>
        <w:t>Spiliada</w:t>
      </w:r>
      <w:r w:rsidR="007E4AFB" w:rsidRPr="00046CF1">
        <w:rPr>
          <w:rFonts w:ascii="Times New Roman" w:hAnsi="Times New Roman" w:cs="Times New Roman"/>
          <w:sz w:val="24"/>
          <w:szCs w:val="24"/>
        </w:rPr>
        <w:t xml:space="preserve">, the House of Lords considered the question of the effect of </w:t>
      </w:r>
      <w:r w:rsidR="007E4AFB" w:rsidRPr="00046CF1">
        <w:rPr>
          <w:rFonts w:ascii="Times New Roman" w:hAnsi="Times New Roman" w:cs="Times New Roman"/>
          <w:i/>
          <w:sz w:val="24"/>
          <w:szCs w:val="24"/>
        </w:rPr>
        <w:t>lis alibi pendens</w:t>
      </w:r>
      <w:r w:rsidR="007E4AFB" w:rsidRPr="00046CF1">
        <w:rPr>
          <w:rFonts w:ascii="Times New Roman" w:hAnsi="Times New Roman" w:cs="Times New Roman"/>
          <w:sz w:val="24"/>
          <w:szCs w:val="24"/>
        </w:rPr>
        <w:t xml:space="preserve"> on the decision to grant a stay of proceedings in </w:t>
      </w:r>
      <w:r w:rsidR="007E4AFB" w:rsidRPr="00046CF1">
        <w:rPr>
          <w:rFonts w:ascii="Times New Roman" w:hAnsi="Times New Roman" w:cs="Times New Roman"/>
          <w:i/>
          <w:sz w:val="24"/>
          <w:szCs w:val="24"/>
        </w:rPr>
        <w:t>The Abidin Daver</w:t>
      </w:r>
      <w:r w:rsidR="007E4AFB" w:rsidRPr="00046CF1">
        <w:rPr>
          <w:rFonts w:ascii="Times New Roman" w:hAnsi="Times New Roman" w:cs="Times New Roman"/>
          <w:sz w:val="24"/>
          <w:szCs w:val="24"/>
        </w:rPr>
        <w:t xml:space="preserve"> ([1984] AC 298). Lord Diplock summari</w:t>
      </w:r>
      <w:r w:rsidR="00522CEC" w:rsidRPr="00046CF1">
        <w:rPr>
          <w:rFonts w:ascii="Times New Roman" w:hAnsi="Times New Roman" w:cs="Times New Roman"/>
          <w:sz w:val="24"/>
          <w:szCs w:val="24"/>
        </w:rPr>
        <w:t>s</w:t>
      </w:r>
      <w:r w:rsidR="007E4AFB" w:rsidRPr="00046CF1">
        <w:rPr>
          <w:rFonts w:ascii="Times New Roman" w:hAnsi="Times New Roman" w:cs="Times New Roman"/>
          <w:sz w:val="24"/>
          <w:szCs w:val="24"/>
        </w:rPr>
        <w:t xml:space="preserve">ed the development in Scottish and English jurisprudence to date and declared </w:t>
      </w:r>
      <w:r w:rsidR="00522CEC" w:rsidRPr="00046CF1">
        <w:rPr>
          <w:rFonts w:ascii="Times New Roman" w:hAnsi="Times New Roman" w:cs="Times New Roman"/>
          <w:sz w:val="24"/>
          <w:szCs w:val="24"/>
        </w:rPr>
        <w:t xml:space="preserve">in his judgment </w:t>
      </w:r>
      <w:r w:rsidR="007E4AFB" w:rsidRPr="00046CF1">
        <w:rPr>
          <w:rFonts w:ascii="Times New Roman" w:hAnsi="Times New Roman" w:cs="Times New Roman"/>
          <w:sz w:val="24"/>
          <w:szCs w:val="24"/>
        </w:rPr>
        <w:t>that “</w:t>
      </w:r>
      <w:r w:rsidR="007E4AFB" w:rsidRPr="00046CF1">
        <w:rPr>
          <w:rFonts w:ascii="Times New Roman" w:hAnsi="Times New Roman" w:cs="Times New Roman"/>
          <w:i/>
          <w:sz w:val="24"/>
          <w:szCs w:val="24"/>
        </w:rPr>
        <w:t>judicial chauvinism has been replaced by judicial comity</w:t>
      </w:r>
      <w:r w:rsidR="007E4AFB" w:rsidRPr="00046CF1">
        <w:rPr>
          <w:rFonts w:ascii="Times New Roman" w:hAnsi="Times New Roman" w:cs="Times New Roman"/>
          <w:sz w:val="24"/>
          <w:szCs w:val="24"/>
        </w:rPr>
        <w:t xml:space="preserve">.” </w:t>
      </w:r>
      <w:r w:rsidR="00496B55">
        <w:rPr>
          <w:rFonts w:ascii="Times New Roman" w:hAnsi="Times New Roman" w:cs="Times New Roman"/>
          <w:sz w:val="24"/>
          <w:szCs w:val="24"/>
        </w:rPr>
        <w:t xml:space="preserve">Lord Diplock’s recognition that the English and Scottish positions were now aligned was noted and approved in </w:t>
      </w:r>
      <w:r w:rsidR="00496B55">
        <w:rPr>
          <w:rFonts w:ascii="Times New Roman" w:hAnsi="Times New Roman" w:cs="Times New Roman"/>
          <w:i/>
          <w:sz w:val="24"/>
          <w:szCs w:val="24"/>
        </w:rPr>
        <w:t>Spiliada</w:t>
      </w:r>
      <w:r w:rsidR="00496B55">
        <w:rPr>
          <w:rFonts w:ascii="Times New Roman" w:hAnsi="Times New Roman" w:cs="Times New Roman"/>
          <w:sz w:val="24"/>
          <w:szCs w:val="24"/>
        </w:rPr>
        <w:t xml:space="preserve"> at 475G</w:t>
      </w:r>
      <w:r w:rsidR="007E4AFB" w:rsidRPr="00046CF1">
        <w:rPr>
          <w:rFonts w:ascii="Times New Roman" w:hAnsi="Times New Roman" w:cs="Times New Roman"/>
          <w:sz w:val="24"/>
          <w:szCs w:val="24"/>
        </w:rPr>
        <w:t xml:space="preserve">. </w:t>
      </w:r>
    </w:p>
    <w:p w14:paraId="32E46E29" w14:textId="772EED4C" w:rsidR="00935129" w:rsidRDefault="000A49EF"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However, as much as the </w:t>
      </w:r>
      <w:r>
        <w:rPr>
          <w:rFonts w:ascii="Times New Roman" w:hAnsi="Times New Roman" w:cs="Times New Roman"/>
          <w:i/>
          <w:sz w:val="24"/>
          <w:szCs w:val="24"/>
        </w:rPr>
        <w:t xml:space="preserve">Spiliada </w:t>
      </w:r>
      <w:r>
        <w:rPr>
          <w:rFonts w:ascii="Times New Roman" w:hAnsi="Times New Roman" w:cs="Times New Roman"/>
          <w:sz w:val="24"/>
          <w:szCs w:val="24"/>
        </w:rPr>
        <w:t>test may have sought to encourage greater judicial comity and flexibility, it is no longer fit for purpose as it does not safeguard against the real risk of judicial chauvinism that is present in its application, particularly in the field of international commercial law. The broad discretion offered to judges encourages the very behavior it sought to curtail.</w:t>
      </w:r>
    </w:p>
    <w:p w14:paraId="5E526AFA" w14:textId="1930E2D0" w:rsidR="00560FE0" w:rsidRDefault="00560FE0"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Further, this essay argues that a restatement of both limbs of the </w:t>
      </w:r>
      <w:r>
        <w:rPr>
          <w:rFonts w:ascii="Times New Roman" w:hAnsi="Times New Roman" w:cs="Times New Roman"/>
          <w:i/>
          <w:sz w:val="24"/>
          <w:szCs w:val="24"/>
        </w:rPr>
        <w:t xml:space="preserve">Spiliada </w:t>
      </w:r>
      <w:r>
        <w:rPr>
          <w:rFonts w:ascii="Times New Roman" w:hAnsi="Times New Roman" w:cs="Times New Roman"/>
          <w:sz w:val="24"/>
          <w:szCs w:val="24"/>
        </w:rPr>
        <w:t>test is necessary as follows:</w:t>
      </w:r>
    </w:p>
    <w:p w14:paraId="6F4DB921" w14:textId="0E94A51E" w:rsidR="00560FE0" w:rsidRDefault="00560FE0" w:rsidP="00046CF1">
      <w:pPr>
        <w:spacing w:line="360" w:lineRule="auto"/>
        <w:rPr>
          <w:rFonts w:ascii="Times New Roman" w:hAnsi="Times New Roman" w:cs="Times New Roman"/>
          <w:sz w:val="24"/>
          <w:szCs w:val="24"/>
        </w:rPr>
      </w:pPr>
      <w:r>
        <w:rPr>
          <w:rFonts w:ascii="Times New Roman" w:hAnsi="Times New Roman" w:cs="Times New Roman"/>
          <w:sz w:val="24"/>
          <w:szCs w:val="24"/>
        </w:rPr>
        <w:t>i</w:t>
      </w:r>
      <w:r w:rsidR="00C728E3">
        <w:rPr>
          <w:rFonts w:ascii="Times New Roman" w:hAnsi="Times New Roman" w:cs="Times New Roman"/>
          <w:sz w:val="24"/>
          <w:szCs w:val="24"/>
        </w:rPr>
        <w:t>)</w:t>
      </w:r>
      <w:r>
        <w:rPr>
          <w:rFonts w:ascii="Times New Roman" w:hAnsi="Times New Roman" w:cs="Times New Roman"/>
          <w:sz w:val="24"/>
          <w:szCs w:val="24"/>
        </w:rPr>
        <w:t xml:space="preserve"> A greater emphasis on the primacy of the appropriate forum </w:t>
      </w:r>
      <w:r w:rsidR="00C728E3">
        <w:rPr>
          <w:rFonts w:ascii="Times New Roman" w:hAnsi="Times New Roman" w:cs="Times New Roman"/>
          <w:sz w:val="24"/>
          <w:szCs w:val="24"/>
        </w:rPr>
        <w:t>limb</w:t>
      </w:r>
      <w:r w:rsidR="00435C53">
        <w:rPr>
          <w:rFonts w:ascii="Times New Roman" w:hAnsi="Times New Roman" w:cs="Times New Roman"/>
          <w:sz w:val="24"/>
          <w:szCs w:val="24"/>
        </w:rPr>
        <w:t>;</w:t>
      </w:r>
    </w:p>
    <w:p w14:paraId="45F24E03" w14:textId="742AA653" w:rsidR="00C728E3" w:rsidRDefault="00C728E3" w:rsidP="00046CF1">
      <w:pPr>
        <w:spacing w:line="360" w:lineRule="auto"/>
        <w:rPr>
          <w:rFonts w:ascii="Times New Roman" w:hAnsi="Times New Roman" w:cs="Times New Roman"/>
          <w:sz w:val="24"/>
          <w:szCs w:val="24"/>
        </w:rPr>
      </w:pPr>
      <w:r>
        <w:rPr>
          <w:rFonts w:ascii="Times New Roman" w:hAnsi="Times New Roman" w:cs="Times New Roman"/>
          <w:sz w:val="24"/>
          <w:szCs w:val="24"/>
        </w:rPr>
        <w:t>ii) A return to considering whether the claimant would lose some personal or juridical advantage if a claim were to be heard in another jurisdiction.</w:t>
      </w:r>
    </w:p>
    <w:p w14:paraId="08032B5E" w14:textId="49108E43" w:rsidR="00C728E3" w:rsidRPr="00560FE0" w:rsidRDefault="00C728E3" w:rsidP="00046CF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essay will focus primarily on the </w:t>
      </w:r>
      <w:r>
        <w:rPr>
          <w:rFonts w:ascii="Times New Roman" w:hAnsi="Times New Roman" w:cs="Times New Roman"/>
          <w:i/>
          <w:sz w:val="24"/>
          <w:szCs w:val="24"/>
        </w:rPr>
        <w:t xml:space="preserve">forum non conveniens </w:t>
      </w:r>
      <w:r>
        <w:rPr>
          <w:rFonts w:ascii="Times New Roman" w:hAnsi="Times New Roman" w:cs="Times New Roman"/>
          <w:sz w:val="24"/>
          <w:szCs w:val="24"/>
        </w:rPr>
        <w:t>test as applicable to stays of jurisdiction but, given that the fundamental principle is also relevant to service out of the jurisdiction, may also refer to such cases for illustration.</w:t>
      </w:r>
    </w:p>
    <w:p w14:paraId="2DA7FAF8" w14:textId="13949800" w:rsidR="00560FE0" w:rsidRPr="00560FE0" w:rsidRDefault="00560FE0" w:rsidP="00046CF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The ris</w:t>
      </w:r>
      <w:r w:rsidR="00C728E3">
        <w:rPr>
          <w:rFonts w:ascii="Times New Roman" w:hAnsi="Times New Roman" w:cs="Times New Roman"/>
          <w:b/>
          <w:sz w:val="24"/>
          <w:szCs w:val="24"/>
          <w:u w:val="single"/>
        </w:rPr>
        <w:t>e</w:t>
      </w:r>
      <w:r>
        <w:rPr>
          <w:rFonts w:ascii="Times New Roman" w:hAnsi="Times New Roman" w:cs="Times New Roman"/>
          <w:b/>
          <w:sz w:val="24"/>
          <w:szCs w:val="24"/>
          <w:u w:val="single"/>
        </w:rPr>
        <w:t xml:space="preserve"> of judicial chauvinism in commercial cases</w:t>
      </w:r>
    </w:p>
    <w:p w14:paraId="14D47817" w14:textId="77777777" w:rsidR="00C728E3" w:rsidRDefault="00C728E3" w:rsidP="00C728E3">
      <w:pPr>
        <w:spacing w:line="360" w:lineRule="auto"/>
        <w:rPr>
          <w:rFonts w:ascii="Times New Roman" w:hAnsi="Times New Roman" w:cs="Times New Roman"/>
          <w:sz w:val="24"/>
          <w:szCs w:val="24"/>
        </w:rPr>
      </w:pPr>
      <w:r>
        <w:rPr>
          <w:rFonts w:ascii="Times New Roman" w:hAnsi="Times New Roman" w:cs="Times New Roman"/>
          <w:sz w:val="24"/>
          <w:szCs w:val="24"/>
        </w:rPr>
        <w:t xml:space="preserve">Although guidance is provided in </w:t>
      </w:r>
      <w:r>
        <w:rPr>
          <w:rFonts w:ascii="Times New Roman" w:hAnsi="Times New Roman" w:cs="Times New Roman"/>
          <w:i/>
          <w:sz w:val="24"/>
          <w:szCs w:val="24"/>
        </w:rPr>
        <w:t>Spiliada</w:t>
      </w:r>
      <w:r>
        <w:rPr>
          <w:rFonts w:ascii="Times New Roman" w:hAnsi="Times New Roman" w:cs="Times New Roman"/>
          <w:sz w:val="24"/>
          <w:szCs w:val="24"/>
        </w:rPr>
        <w:t xml:space="preserve"> as to the relevant factors to consider under both limbs of the test, none of these are said to be binding and, broadly speaking, the courts have a broad discretion as to when a case is more closely connected with another forum and when the interests of justice require a stay to be granted. It is with this discretion that a risk of a rise in judicial chauvinism presents itself, particularly in the area of international commercial law.</w:t>
      </w:r>
    </w:p>
    <w:p w14:paraId="50D6D369" w14:textId="5942E07A" w:rsidR="00A7263F" w:rsidRPr="00046CF1" w:rsidRDefault="00183020" w:rsidP="00C728E3">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uncontroversial to note that the complexity of commercial disputes have developed considerably since the </w:t>
      </w:r>
      <w:r>
        <w:rPr>
          <w:rFonts w:ascii="Times New Roman" w:hAnsi="Times New Roman" w:cs="Times New Roman"/>
          <w:i/>
          <w:sz w:val="24"/>
          <w:szCs w:val="24"/>
        </w:rPr>
        <w:t>Spiliada</w:t>
      </w:r>
      <w:r>
        <w:rPr>
          <w:rFonts w:ascii="Times New Roman" w:hAnsi="Times New Roman" w:cs="Times New Roman"/>
          <w:sz w:val="24"/>
          <w:szCs w:val="24"/>
        </w:rPr>
        <w:t xml:space="preserve">. </w:t>
      </w:r>
      <w:r w:rsidR="00A7263F" w:rsidRPr="00046CF1">
        <w:rPr>
          <w:rFonts w:ascii="Times New Roman" w:hAnsi="Times New Roman" w:cs="Times New Roman"/>
          <w:sz w:val="24"/>
          <w:szCs w:val="24"/>
        </w:rPr>
        <w:t xml:space="preserve">Agreements are </w:t>
      </w:r>
      <w:r>
        <w:rPr>
          <w:rFonts w:ascii="Times New Roman" w:hAnsi="Times New Roman" w:cs="Times New Roman"/>
          <w:sz w:val="24"/>
          <w:szCs w:val="24"/>
        </w:rPr>
        <w:t xml:space="preserve">now regularly concluded </w:t>
      </w:r>
      <w:r w:rsidR="00A7263F" w:rsidRPr="00046CF1">
        <w:rPr>
          <w:rFonts w:ascii="Times New Roman" w:hAnsi="Times New Roman" w:cs="Times New Roman"/>
          <w:sz w:val="24"/>
          <w:szCs w:val="24"/>
        </w:rPr>
        <w:t>between multiple parties in different jurisdictions</w:t>
      </w:r>
      <w:r>
        <w:rPr>
          <w:rFonts w:ascii="Times New Roman" w:hAnsi="Times New Roman" w:cs="Times New Roman"/>
          <w:sz w:val="24"/>
          <w:szCs w:val="24"/>
        </w:rPr>
        <w:t xml:space="preserve"> </w:t>
      </w:r>
      <w:r w:rsidR="00A7263F" w:rsidRPr="00046CF1">
        <w:rPr>
          <w:rFonts w:ascii="Times New Roman" w:hAnsi="Times New Roman" w:cs="Times New Roman"/>
          <w:sz w:val="24"/>
          <w:szCs w:val="24"/>
        </w:rPr>
        <w:t xml:space="preserve">and </w:t>
      </w:r>
      <w:r>
        <w:rPr>
          <w:rFonts w:ascii="Times New Roman" w:hAnsi="Times New Roman" w:cs="Times New Roman"/>
          <w:sz w:val="24"/>
          <w:szCs w:val="24"/>
        </w:rPr>
        <w:t xml:space="preserve">electronic communication and online platforms for the provision of services makes it difficult to </w:t>
      </w:r>
      <w:r w:rsidR="00435C53">
        <w:rPr>
          <w:rFonts w:ascii="Times New Roman" w:hAnsi="Times New Roman" w:cs="Times New Roman"/>
          <w:sz w:val="24"/>
          <w:szCs w:val="24"/>
        </w:rPr>
        <w:t>establish</w:t>
      </w:r>
      <w:r>
        <w:rPr>
          <w:rFonts w:ascii="Times New Roman" w:hAnsi="Times New Roman" w:cs="Times New Roman"/>
          <w:sz w:val="24"/>
          <w:szCs w:val="24"/>
        </w:rPr>
        <w:t xml:space="preserve"> where a contract has been concluded.</w:t>
      </w:r>
      <w:r w:rsidR="00A7263F" w:rsidRPr="00046CF1">
        <w:rPr>
          <w:rFonts w:ascii="Times New Roman" w:hAnsi="Times New Roman" w:cs="Times New Roman"/>
          <w:sz w:val="24"/>
          <w:szCs w:val="24"/>
        </w:rPr>
        <w:t xml:space="preserve"> </w:t>
      </w:r>
    </w:p>
    <w:p w14:paraId="212D0DBA" w14:textId="5A4C1D2A" w:rsidR="00516A47" w:rsidRPr="00046CF1" w:rsidRDefault="00AA5BE7" w:rsidP="00046CF1">
      <w:pPr>
        <w:spacing w:line="360" w:lineRule="auto"/>
        <w:rPr>
          <w:rFonts w:ascii="Times New Roman" w:hAnsi="Times New Roman" w:cs="Times New Roman"/>
          <w:sz w:val="24"/>
          <w:szCs w:val="24"/>
        </w:rPr>
      </w:pPr>
      <w:r>
        <w:rPr>
          <w:rFonts w:ascii="Times New Roman" w:hAnsi="Times New Roman" w:cs="Times New Roman"/>
          <w:sz w:val="24"/>
          <w:szCs w:val="24"/>
        </w:rPr>
        <w:t>Another development in the</w:t>
      </w:r>
      <w:r w:rsidR="00C33178" w:rsidRPr="00046CF1">
        <w:rPr>
          <w:rFonts w:ascii="Times New Roman" w:hAnsi="Times New Roman" w:cs="Times New Roman"/>
          <w:sz w:val="24"/>
          <w:szCs w:val="24"/>
        </w:rPr>
        <w:t xml:space="preserve"> years </w:t>
      </w:r>
      <w:r>
        <w:rPr>
          <w:rFonts w:ascii="Times New Roman" w:hAnsi="Times New Roman" w:cs="Times New Roman"/>
          <w:sz w:val="24"/>
          <w:szCs w:val="24"/>
        </w:rPr>
        <w:t>since</w:t>
      </w:r>
      <w:r w:rsidR="00C33178" w:rsidRPr="00046CF1">
        <w:rPr>
          <w:rFonts w:ascii="Times New Roman" w:hAnsi="Times New Roman" w:cs="Times New Roman"/>
          <w:sz w:val="24"/>
          <w:szCs w:val="24"/>
        </w:rPr>
        <w:t xml:space="preserve"> </w:t>
      </w:r>
      <w:r w:rsidR="00C33178" w:rsidRPr="00046CF1">
        <w:rPr>
          <w:rFonts w:ascii="Times New Roman" w:hAnsi="Times New Roman" w:cs="Times New Roman"/>
          <w:i/>
          <w:sz w:val="24"/>
          <w:szCs w:val="24"/>
        </w:rPr>
        <w:t>Spiliada</w:t>
      </w:r>
      <w:r w:rsidR="00C33178" w:rsidRPr="00046CF1">
        <w:rPr>
          <w:rFonts w:ascii="Times New Roman" w:hAnsi="Times New Roman" w:cs="Times New Roman"/>
          <w:sz w:val="24"/>
          <w:szCs w:val="24"/>
        </w:rPr>
        <w:t xml:space="preserve"> </w:t>
      </w:r>
      <w:r>
        <w:rPr>
          <w:rFonts w:ascii="Times New Roman" w:hAnsi="Times New Roman" w:cs="Times New Roman"/>
          <w:sz w:val="24"/>
          <w:szCs w:val="24"/>
        </w:rPr>
        <w:t>is the</w:t>
      </w:r>
      <w:r w:rsidR="00C33178" w:rsidRPr="00046CF1">
        <w:rPr>
          <w:rFonts w:ascii="Times New Roman" w:hAnsi="Times New Roman" w:cs="Times New Roman"/>
          <w:sz w:val="24"/>
          <w:szCs w:val="24"/>
        </w:rPr>
        <w:t xml:space="preserve"> increase in the establishment of courts with specific jurisdiction to decide disputes of an international commercial nature.</w:t>
      </w:r>
      <w:r w:rsidR="008605DA" w:rsidRPr="00046CF1">
        <w:rPr>
          <w:rFonts w:ascii="Times New Roman" w:hAnsi="Times New Roman" w:cs="Times New Roman"/>
          <w:sz w:val="24"/>
          <w:szCs w:val="24"/>
        </w:rPr>
        <w:t xml:space="preserve"> In some cases, courts are established in order to govern the disputes of a financial centre which has its own exclusive jurisdiction in commercial matters, such as the Dubai International Financial Centre (“DIFC”) Courts, the Abu Dhabi Global Markets (“ADGM”) Courts and the Astana International Financial Centre (“AIFC”) Court.</w:t>
      </w:r>
      <w:r w:rsidR="00F06DBB" w:rsidRPr="00046CF1">
        <w:rPr>
          <w:rFonts w:ascii="Times New Roman" w:hAnsi="Times New Roman" w:cs="Times New Roman"/>
          <w:sz w:val="24"/>
          <w:szCs w:val="24"/>
        </w:rPr>
        <w:t xml:space="preserve"> The courts listed above operate within a common law framework</w:t>
      </w:r>
      <w:r w:rsidR="00817EDE" w:rsidRPr="00046CF1">
        <w:rPr>
          <w:rFonts w:ascii="Times New Roman" w:hAnsi="Times New Roman" w:cs="Times New Roman"/>
          <w:sz w:val="24"/>
          <w:szCs w:val="24"/>
        </w:rPr>
        <w:t>, with procedural rules derived from the English Civil Procedure Rules</w:t>
      </w:r>
      <w:r w:rsidR="00DD0D1D" w:rsidRPr="00046CF1">
        <w:rPr>
          <w:rFonts w:ascii="Times New Roman" w:hAnsi="Times New Roman" w:cs="Times New Roman"/>
          <w:sz w:val="24"/>
          <w:szCs w:val="24"/>
        </w:rPr>
        <w:t xml:space="preserve"> and apply English law directly, subject to any conflicts with local legislation. Proceedings are conducted in English and the benches of these courts are comprised of eminent common law jurisdiction judges, including retired </w:t>
      </w:r>
      <w:r>
        <w:rPr>
          <w:rFonts w:ascii="Times New Roman" w:hAnsi="Times New Roman" w:cs="Times New Roman"/>
          <w:sz w:val="24"/>
          <w:szCs w:val="24"/>
        </w:rPr>
        <w:t>judges from the High Court of England and Wales</w:t>
      </w:r>
      <w:r w:rsidR="00DD0D1D" w:rsidRPr="00046CF1">
        <w:rPr>
          <w:rFonts w:ascii="Times New Roman" w:hAnsi="Times New Roman" w:cs="Times New Roman"/>
          <w:sz w:val="24"/>
          <w:szCs w:val="24"/>
        </w:rPr>
        <w:t>.</w:t>
      </w:r>
    </w:p>
    <w:p w14:paraId="63EC2FE1" w14:textId="0ABBD0BE" w:rsidR="00957D60" w:rsidRPr="00046CF1" w:rsidRDefault="00DD0D1D"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 xml:space="preserve">Similarly, the Singapore High Court has established a division known as the Singapore International Commercial Court (“SICC”) </w:t>
      </w:r>
      <w:r w:rsidR="00371EBB" w:rsidRPr="00046CF1">
        <w:rPr>
          <w:rFonts w:ascii="Times New Roman" w:hAnsi="Times New Roman" w:cs="Times New Roman"/>
          <w:sz w:val="24"/>
          <w:szCs w:val="24"/>
        </w:rPr>
        <w:t>which hears claims “</w:t>
      </w:r>
      <w:r w:rsidR="00D65F3E">
        <w:rPr>
          <w:rFonts w:ascii="Times New Roman" w:hAnsi="Times New Roman" w:cs="Times New Roman"/>
          <w:sz w:val="24"/>
          <w:szCs w:val="24"/>
        </w:rPr>
        <w:t>international and commercial in nature</w:t>
      </w:r>
      <w:r w:rsidR="00371EBB" w:rsidRPr="00046CF1">
        <w:rPr>
          <w:rFonts w:ascii="Times New Roman" w:hAnsi="Times New Roman" w:cs="Times New Roman"/>
          <w:sz w:val="24"/>
          <w:szCs w:val="24"/>
        </w:rPr>
        <w:t>”.</w:t>
      </w:r>
      <w:r w:rsidR="00AA5BE7">
        <w:rPr>
          <w:rStyle w:val="FootnoteReference"/>
          <w:rFonts w:ascii="Times New Roman" w:hAnsi="Times New Roman" w:cs="Times New Roman"/>
          <w:sz w:val="24"/>
          <w:szCs w:val="24"/>
        </w:rPr>
        <w:footnoteReference w:id="2"/>
      </w:r>
      <w:r w:rsidR="00371EBB" w:rsidRPr="00046CF1">
        <w:rPr>
          <w:rFonts w:ascii="Times New Roman" w:hAnsi="Times New Roman" w:cs="Times New Roman"/>
          <w:sz w:val="24"/>
          <w:szCs w:val="24"/>
        </w:rPr>
        <w:t xml:space="preserve"> </w:t>
      </w:r>
      <w:r w:rsidR="00A32ADF" w:rsidRPr="00046CF1">
        <w:rPr>
          <w:rFonts w:ascii="Times New Roman" w:hAnsi="Times New Roman" w:cs="Times New Roman"/>
          <w:sz w:val="24"/>
          <w:szCs w:val="24"/>
        </w:rPr>
        <w:t>The SICC is able to conduct proceedings in English</w:t>
      </w:r>
      <w:r w:rsidR="00AA5BE7">
        <w:rPr>
          <w:rFonts w:ascii="Times New Roman" w:hAnsi="Times New Roman" w:cs="Times New Roman"/>
          <w:sz w:val="24"/>
          <w:szCs w:val="24"/>
        </w:rPr>
        <w:t xml:space="preserve"> and adopt non-Singaporean rules </w:t>
      </w:r>
      <w:r w:rsidR="00AA5BE7">
        <w:rPr>
          <w:rFonts w:ascii="Times New Roman" w:hAnsi="Times New Roman" w:cs="Times New Roman"/>
          <w:sz w:val="24"/>
          <w:szCs w:val="24"/>
        </w:rPr>
        <w:lastRenderedPageBreak/>
        <w:t xml:space="preserve">of evidence on application. </w:t>
      </w:r>
      <w:r w:rsidR="00D65F3E">
        <w:rPr>
          <w:rFonts w:ascii="Times New Roman" w:hAnsi="Times New Roman" w:cs="Times New Roman"/>
          <w:sz w:val="24"/>
          <w:szCs w:val="24"/>
        </w:rPr>
        <w:t>As in the courts</w:t>
      </w:r>
      <w:r w:rsidR="00AA5BE7">
        <w:rPr>
          <w:rFonts w:ascii="Times New Roman" w:hAnsi="Times New Roman" w:cs="Times New Roman"/>
          <w:sz w:val="24"/>
          <w:szCs w:val="24"/>
        </w:rPr>
        <w:t xml:space="preserve"> of the DIFC, ADGM and AIFC, </w:t>
      </w:r>
      <w:r w:rsidR="00D65F3E">
        <w:rPr>
          <w:rFonts w:ascii="Times New Roman" w:hAnsi="Times New Roman" w:cs="Times New Roman"/>
          <w:sz w:val="24"/>
          <w:szCs w:val="24"/>
        </w:rPr>
        <w:t>the SICC’s bench is also staffed with international judges to sit alongside their Singaporean counterparts.</w:t>
      </w:r>
    </w:p>
    <w:p w14:paraId="7CA1828D" w14:textId="1F58D0F5" w:rsidR="00D65F3E" w:rsidRDefault="00957D60"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 xml:space="preserve">The reality that the establishment of these dispute resolution centres presents </w:t>
      </w:r>
      <w:r w:rsidR="00AA5BE7">
        <w:rPr>
          <w:rFonts w:ascii="Times New Roman" w:hAnsi="Times New Roman" w:cs="Times New Roman"/>
          <w:sz w:val="24"/>
          <w:szCs w:val="24"/>
        </w:rPr>
        <w:t xml:space="preserve">is that the </w:t>
      </w:r>
      <w:r w:rsidR="006A2AC1" w:rsidRPr="00046CF1">
        <w:rPr>
          <w:rFonts w:ascii="Times New Roman" w:hAnsi="Times New Roman" w:cs="Times New Roman"/>
          <w:sz w:val="24"/>
          <w:szCs w:val="24"/>
        </w:rPr>
        <w:t xml:space="preserve">Courts of England and Wales, </w:t>
      </w:r>
      <w:r w:rsidR="00AA5BE7">
        <w:rPr>
          <w:rFonts w:ascii="Times New Roman" w:hAnsi="Times New Roman" w:cs="Times New Roman"/>
          <w:sz w:val="24"/>
          <w:szCs w:val="24"/>
        </w:rPr>
        <w:t xml:space="preserve">particularly </w:t>
      </w:r>
      <w:r w:rsidR="006A2AC1" w:rsidRPr="00046CF1">
        <w:rPr>
          <w:rFonts w:ascii="Times New Roman" w:hAnsi="Times New Roman" w:cs="Times New Roman"/>
          <w:sz w:val="24"/>
          <w:szCs w:val="24"/>
        </w:rPr>
        <w:t xml:space="preserve">the </w:t>
      </w:r>
      <w:r w:rsidR="00AA5BE7">
        <w:rPr>
          <w:rFonts w:ascii="Times New Roman" w:hAnsi="Times New Roman" w:cs="Times New Roman"/>
          <w:sz w:val="24"/>
          <w:szCs w:val="24"/>
        </w:rPr>
        <w:t>Queen’s Bench Division</w:t>
      </w:r>
      <w:r w:rsidR="006A2AC1" w:rsidRPr="00046CF1">
        <w:rPr>
          <w:rFonts w:ascii="Times New Roman" w:hAnsi="Times New Roman" w:cs="Times New Roman"/>
          <w:sz w:val="24"/>
          <w:szCs w:val="24"/>
        </w:rPr>
        <w:t xml:space="preserve"> of the High Court</w:t>
      </w:r>
      <w:r w:rsidR="00AA5BE7">
        <w:rPr>
          <w:rFonts w:ascii="Times New Roman" w:hAnsi="Times New Roman" w:cs="Times New Roman"/>
          <w:sz w:val="24"/>
          <w:szCs w:val="24"/>
        </w:rPr>
        <w:t>, face competition</w:t>
      </w:r>
      <w:r w:rsidR="006A2AC1" w:rsidRPr="00046CF1">
        <w:rPr>
          <w:rFonts w:ascii="Times New Roman" w:hAnsi="Times New Roman" w:cs="Times New Roman"/>
          <w:sz w:val="24"/>
          <w:szCs w:val="24"/>
        </w:rPr>
        <w:t>. It is clear from their marketing</w:t>
      </w:r>
      <w:r w:rsidR="00AA5BE7">
        <w:rPr>
          <w:rFonts w:ascii="Times New Roman" w:hAnsi="Times New Roman" w:cs="Times New Roman"/>
          <w:sz w:val="24"/>
          <w:szCs w:val="24"/>
        </w:rPr>
        <w:t xml:space="preserve">, </w:t>
      </w:r>
      <w:r w:rsidR="006A2AC1" w:rsidRPr="00046CF1">
        <w:rPr>
          <w:rFonts w:ascii="Times New Roman" w:hAnsi="Times New Roman" w:cs="Times New Roman"/>
          <w:sz w:val="24"/>
          <w:szCs w:val="24"/>
        </w:rPr>
        <w:t xml:space="preserve">investment and planning that has gone into the creation of these centres </w:t>
      </w:r>
      <w:r w:rsidR="00AA5BE7">
        <w:rPr>
          <w:rFonts w:ascii="Times New Roman" w:hAnsi="Times New Roman" w:cs="Times New Roman"/>
          <w:sz w:val="24"/>
          <w:szCs w:val="24"/>
        </w:rPr>
        <w:t>makes clear that they are eager</w:t>
      </w:r>
      <w:r w:rsidR="006A2AC1" w:rsidRPr="00046CF1">
        <w:rPr>
          <w:rFonts w:ascii="Times New Roman" w:hAnsi="Times New Roman" w:cs="Times New Roman"/>
          <w:sz w:val="24"/>
          <w:szCs w:val="24"/>
        </w:rPr>
        <w:t xml:space="preserve"> to hear cases and to establish themselves as legitimate dispute resolution bodies. </w:t>
      </w:r>
      <w:r w:rsidR="00AA5BE7">
        <w:rPr>
          <w:rFonts w:ascii="Times New Roman" w:hAnsi="Times New Roman" w:cs="Times New Roman"/>
          <w:sz w:val="24"/>
          <w:szCs w:val="24"/>
        </w:rPr>
        <w:t xml:space="preserve">Against, this background, </w:t>
      </w:r>
      <w:r w:rsidR="00D65F3E">
        <w:rPr>
          <w:rFonts w:ascii="Times New Roman" w:hAnsi="Times New Roman" w:cs="Times New Roman"/>
          <w:sz w:val="24"/>
          <w:szCs w:val="24"/>
        </w:rPr>
        <w:t xml:space="preserve">there is a real risk that the flexibility afforded by the </w:t>
      </w:r>
      <w:r w:rsidR="00D65F3E">
        <w:rPr>
          <w:rFonts w:ascii="Times New Roman" w:hAnsi="Times New Roman" w:cs="Times New Roman"/>
          <w:i/>
          <w:sz w:val="24"/>
          <w:szCs w:val="24"/>
        </w:rPr>
        <w:t xml:space="preserve">Spiliada </w:t>
      </w:r>
      <w:r w:rsidR="00D65F3E">
        <w:rPr>
          <w:rFonts w:ascii="Times New Roman" w:hAnsi="Times New Roman" w:cs="Times New Roman"/>
          <w:sz w:val="24"/>
          <w:szCs w:val="24"/>
        </w:rPr>
        <w:t>test may lead to judicial chauvinism in the form of a court prioritising its own competence to hear a case over the question of where the most natural or appropriate forum is.</w:t>
      </w:r>
    </w:p>
    <w:p w14:paraId="2D54F995" w14:textId="64666C3C" w:rsidR="00EA1B68" w:rsidRDefault="00EA1B68"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Furthermore, the risk is even greater in cases of </w:t>
      </w:r>
      <w:r w:rsidR="00FE6072">
        <w:rPr>
          <w:rFonts w:ascii="Times New Roman" w:hAnsi="Times New Roman" w:cs="Times New Roman"/>
          <w:sz w:val="24"/>
          <w:szCs w:val="24"/>
        </w:rPr>
        <w:t>“</w:t>
      </w:r>
      <w:r>
        <w:rPr>
          <w:rFonts w:ascii="Times New Roman" w:hAnsi="Times New Roman" w:cs="Times New Roman"/>
          <w:sz w:val="24"/>
          <w:szCs w:val="24"/>
        </w:rPr>
        <w:t>service out</w:t>
      </w:r>
      <w:r w:rsidR="00FE6072">
        <w:rPr>
          <w:rFonts w:ascii="Times New Roman" w:hAnsi="Times New Roman" w:cs="Times New Roman"/>
          <w:sz w:val="24"/>
          <w:szCs w:val="24"/>
        </w:rPr>
        <w:t>”</w:t>
      </w:r>
      <w:r>
        <w:rPr>
          <w:rFonts w:ascii="Times New Roman" w:hAnsi="Times New Roman" w:cs="Times New Roman"/>
          <w:sz w:val="24"/>
          <w:szCs w:val="24"/>
        </w:rPr>
        <w:t xml:space="preserve"> where the jurisdictional reach of certain dispute resolution centres can be very broad. For example, the Rules of the DIFC Courts 2018 (“RDC”) specify at RDC 9.53 that:</w:t>
      </w:r>
    </w:p>
    <w:p w14:paraId="7A0E3DC4" w14:textId="14BB46BA" w:rsidR="00EA1B68" w:rsidRDefault="00EA1B68" w:rsidP="00046CF1">
      <w:pPr>
        <w:spacing w:line="360" w:lineRule="auto"/>
        <w:rPr>
          <w:rFonts w:ascii="Times New Roman" w:hAnsi="Times New Roman" w:cs="Times New Roman"/>
          <w:sz w:val="24"/>
          <w:szCs w:val="24"/>
        </w:rPr>
      </w:pPr>
      <w:r>
        <w:rPr>
          <w:rFonts w:ascii="Times New Roman" w:hAnsi="Times New Roman" w:cs="Times New Roman"/>
          <w:sz w:val="24"/>
          <w:szCs w:val="24"/>
        </w:rPr>
        <w:t>“</w:t>
      </w:r>
      <w:r w:rsidR="00C728E3">
        <w:rPr>
          <w:rFonts w:ascii="Times New Roman" w:hAnsi="Times New Roman" w:cs="Times New Roman"/>
          <w:i/>
          <w:sz w:val="24"/>
          <w:szCs w:val="24"/>
        </w:rPr>
        <w:t>…</w:t>
      </w:r>
      <w:r>
        <w:rPr>
          <w:rFonts w:ascii="Times New Roman" w:hAnsi="Times New Roman" w:cs="Times New Roman"/>
          <w:i/>
          <w:sz w:val="24"/>
          <w:szCs w:val="24"/>
        </w:rPr>
        <w:t>permission to serve process outside the DIFC is not required, but it is the responsibility of the party serving process to ensure he complies with the rules regarding service of the place where he is seeking to effect service.</w:t>
      </w:r>
      <w:r>
        <w:rPr>
          <w:rFonts w:ascii="Times New Roman" w:hAnsi="Times New Roman" w:cs="Times New Roman"/>
          <w:sz w:val="24"/>
          <w:szCs w:val="24"/>
        </w:rPr>
        <w:t>”</w:t>
      </w:r>
    </w:p>
    <w:p w14:paraId="7D641372" w14:textId="6E3AB482" w:rsidR="00EA1B68" w:rsidRPr="00EA1B68" w:rsidRDefault="00EA1B68"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A similarly broad jurisdiction is afforded to a chamber such as the SICC whose remit includes international commercial disputes, covering disputes which may </w:t>
      </w:r>
      <w:r>
        <w:rPr>
          <w:rFonts w:ascii="Times New Roman" w:hAnsi="Times New Roman" w:cs="Times New Roman"/>
          <w:i/>
          <w:sz w:val="24"/>
          <w:szCs w:val="24"/>
        </w:rPr>
        <w:t>prima facie</w:t>
      </w:r>
      <w:r>
        <w:rPr>
          <w:rFonts w:ascii="Times New Roman" w:hAnsi="Times New Roman" w:cs="Times New Roman"/>
          <w:sz w:val="24"/>
          <w:szCs w:val="24"/>
        </w:rPr>
        <w:t xml:space="preserve"> have a comparatively weak connection to Singapore.</w:t>
      </w:r>
      <w:r>
        <w:rPr>
          <w:rStyle w:val="FootnoteReference"/>
          <w:rFonts w:ascii="Times New Roman" w:hAnsi="Times New Roman" w:cs="Times New Roman"/>
          <w:sz w:val="24"/>
          <w:szCs w:val="24"/>
        </w:rPr>
        <w:footnoteReference w:id="3"/>
      </w:r>
    </w:p>
    <w:p w14:paraId="0A7E7603" w14:textId="0195931E" w:rsidR="00134F2F" w:rsidRPr="00046CF1" w:rsidRDefault="00FE6072" w:rsidP="00134F2F">
      <w:pPr>
        <w:spacing w:line="360" w:lineRule="auto"/>
        <w:rPr>
          <w:rFonts w:ascii="Times New Roman" w:hAnsi="Times New Roman" w:cs="Times New Roman"/>
          <w:sz w:val="24"/>
          <w:szCs w:val="24"/>
        </w:rPr>
      </w:pPr>
      <w:r>
        <w:rPr>
          <w:rFonts w:ascii="Times New Roman" w:hAnsi="Times New Roman" w:cs="Times New Roman"/>
          <w:sz w:val="24"/>
          <w:szCs w:val="24"/>
        </w:rPr>
        <w:t>The</w:t>
      </w:r>
      <w:r w:rsidR="00134F2F">
        <w:rPr>
          <w:rFonts w:ascii="Times New Roman" w:hAnsi="Times New Roman" w:cs="Times New Roman"/>
          <w:sz w:val="24"/>
          <w:szCs w:val="24"/>
        </w:rPr>
        <w:t xml:space="preserve"> Singapore Court of Appeal </w:t>
      </w:r>
      <w:r>
        <w:rPr>
          <w:rFonts w:ascii="Times New Roman" w:hAnsi="Times New Roman" w:cs="Times New Roman"/>
          <w:sz w:val="24"/>
          <w:szCs w:val="24"/>
        </w:rPr>
        <w:t>noted these concerns in the c</w:t>
      </w:r>
      <w:r w:rsidR="00134F2F">
        <w:rPr>
          <w:rFonts w:ascii="Times New Roman" w:hAnsi="Times New Roman" w:cs="Times New Roman"/>
          <w:sz w:val="24"/>
          <w:szCs w:val="24"/>
        </w:rPr>
        <w:t>ase of</w:t>
      </w:r>
      <w:r w:rsidR="00134F2F" w:rsidRPr="00046CF1">
        <w:rPr>
          <w:rFonts w:ascii="Times New Roman" w:hAnsi="Times New Roman" w:cs="Times New Roman"/>
          <w:sz w:val="24"/>
          <w:szCs w:val="24"/>
        </w:rPr>
        <w:t xml:space="preserve"> </w:t>
      </w:r>
      <w:r w:rsidR="00134F2F" w:rsidRPr="00046CF1">
        <w:rPr>
          <w:rFonts w:ascii="Times New Roman" w:hAnsi="Times New Roman" w:cs="Times New Roman"/>
          <w:i/>
          <w:sz w:val="24"/>
          <w:szCs w:val="24"/>
        </w:rPr>
        <w:t xml:space="preserve">Rappo v Accent Delight International Ltd and another and another appeal </w:t>
      </w:r>
      <w:r w:rsidR="00134F2F" w:rsidRPr="00046CF1">
        <w:rPr>
          <w:rFonts w:ascii="Times New Roman" w:hAnsi="Times New Roman" w:cs="Times New Roman"/>
          <w:sz w:val="24"/>
          <w:szCs w:val="24"/>
        </w:rPr>
        <w:t>[2017] SGCA 27</w:t>
      </w:r>
      <w:r w:rsidR="00134F2F">
        <w:rPr>
          <w:rFonts w:ascii="Times New Roman" w:hAnsi="Times New Roman" w:cs="Times New Roman"/>
          <w:sz w:val="24"/>
          <w:szCs w:val="24"/>
        </w:rPr>
        <w:t>. The matter concerned claims by two companies domiciled in the BVI against individuals resident in Singapore and Monaco for breach of fiduciary duty, fraudulent misrepresentation and the tort of deceit. The defendants applied for a stay of proceedings commenced in Singapore on the basis that either Switzerland or Monaco was the more appropriate forum for their claim to be heard. The application for a stay was dismissed and on appeal, the defendants alleged, among other things, that th</w:t>
      </w:r>
      <w:r w:rsidR="00134F2F" w:rsidRPr="00046CF1">
        <w:rPr>
          <w:rFonts w:ascii="Times New Roman" w:hAnsi="Times New Roman" w:cs="Times New Roman"/>
          <w:sz w:val="24"/>
          <w:szCs w:val="24"/>
        </w:rPr>
        <w:t xml:space="preserve">e judge at first instance had erroneously taken into account the availability of a transfer to </w:t>
      </w:r>
      <w:r w:rsidR="00134F2F" w:rsidRPr="00046CF1">
        <w:rPr>
          <w:rFonts w:ascii="Times New Roman" w:hAnsi="Times New Roman" w:cs="Times New Roman"/>
          <w:sz w:val="24"/>
          <w:szCs w:val="24"/>
        </w:rPr>
        <w:lastRenderedPageBreak/>
        <w:t xml:space="preserve">the SICC when considering whether Singapore was </w:t>
      </w:r>
      <w:r w:rsidR="00134F2F" w:rsidRPr="00046CF1">
        <w:rPr>
          <w:rFonts w:ascii="Times New Roman" w:hAnsi="Times New Roman" w:cs="Times New Roman"/>
          <w:i/>
          <w:sz w:val="24"/>
          <w:szCs w:val="24"/>
        </w:rPr>
        <w:t>forum non conveniens</w:t>
      </w:r>
      <w:r w:rsidR="00134F2F" w:rsidRPr="00046CF1">
        <w:rPr>
          <w:rFonts w:ascii="Times New Roman" w:hAnsi="Times New Roman" w:cs="Times New Roman"/>
          <w:sz w:val="24"/>
          <w:szCs w:val="24"/>
        </w:rPr>
        <w:t xml:space="preserve">. The Singapore Court of Appeal held that the first instance judge had applied the </w:t>
      </w:r>
      <w:r w:rsidR="00134F2F" w:rsidRPr="00046CF1">
        <w:rPr>
          <w:rFonts w:ascii="Times New Roman" w:hAnsi="Times New Roman" w:cs="Times New Roman"/>
          <w:i/>
          <w:sz w:val="24"/>
          <w:szCs w:val="24"/>
        </w:rPr>
        <w:t xml:space="preserve">Spiliada </w:t>
      </w:r>
      <w:r w:rsidR="00134F2F" w:rsidRPr="00046CF1">
        <w:rPr>
          <w:rFonts w:ascii="Times New Roman" w:hAnsi="Times New Roman" w:cs="Times New Roman"/>
          <w:sz w:val="24"/>
          <w:szCs w:val="24"/>
        </w:rPr>
        <w:t>test appropriately</w:t>
      </w:r>
      <w:r w:rsidR="00466BB7">
        <w:rPr>
          <w:rFonts w:ascii="Times New Roman" w:hAnsi="Times New Roman" w:cs="Times New Roman"/>
          <w:sz w:val="24"/>
          <w:szCs w:val="24"/>
        </w:rPr>
        <w:t xml:space="preserve"> and clarified that:</w:t>
      </w:r>
    </w:p>
    <w:p w14:paraId="30820C96" w14:textId="121E38D1" w:rsidR="00134F2F" w:rsidRPr="00046CF1" w:rsidRDefault="00134F2F" w:rsidP="00134F2F">
      <w:pPr>
        <w:spacing w:line="360" w:lineRule="auto"/>
        <w:rPr>
          <w:rFonts w:ascii="Times New Roman" w:hAnsi="Times New Roman" w:cs="Times New Roman"/>
          <w:sz w:val="24"/>
          <w:szCs w:val="24"/>
        </w:rPr>
      </w:pPr>
      <w:r w:rsidRPr="00046CF1">
        <w:rPr>
          <w:rFonts w:ascii="Times New Roman" w:hAnsi="Times New Roman" w:cs="Times New Roman"/>
          <w:sz w:val="24"/>
          <w:szCs w:val="24"/>
        </w:rPr>
        <w:t>“</w:t>
      </w:r>
      <w:r w:rsidRPr="00046CF1">
        <w:rPr>
          <w:rFonts w:ascii="Times New Roman" w:hAnsi="Times New Roman" w:cs="Times New Roman"/>
          <w:i/>
          <w:sz w:val="24"/>
          <w:szCs w:val="24"/>
        </w:rPr>
        <w:t xml:space="preserve">an unprincipled jurisdictional grab resulting in the Singapore courts’ refusal to grant a stay in </w:t>
      </w:r>
      <w:r w:rsidRPr="00F2140A">
        <w:rPr>
          <w:rFonts w:ascii="Times New Roman" w:hAnsi="Times New Roman" w:cs="Times New Roman"/>
          <w:i/>
          <w:sz w:val="24"/>
          <w:szCs w:val="24"/>
          <w:u w:val="single"/>
        </w:rPr>
        <w:t xml:space="preserve">all </w:t>
      </w:r>
      <w:r w:rsidRPr="00046CF1">
        <w:rPr>
          <w:rFonts w:ascii="Times New Roman" w:hAnsi="Times New Roman" w:cs="Times New Roman"/>
          <w:i/>
          <w:sz w:val="24"/>
          <w:szCs w:val="24"/>
        </w:rPr>
        <w:t>cross-border commercial cases</w:t>
      </w:r>
      <w:r w:rsidR="00466BB7">
        <w:rPr>
          <w:rFonts w:ascii="Times New Roman" w:hAnsi="Times New Roman" w:cs="Times New Roman"/>
          <w:i/>
          <w:sz w:val="24"/>
          <w:szCs w:val="24"/>
        </w:rPr>
        <w:t xml:space="preserve"> would be wrong</w:t>
      </w:r>
      <w:r w:rsidRPr="00046CF1">
        <w:rPr>
          <w:rFonts w:ascii="Times New Roman" w:hAnsi="Times New Roman" w:cs="Times New Roman"/>
          <w:sz w:val="24"/>
          <w:szCs w:val="24"/>
        </w:rPr>
        <w:t>.</w:t>
      </w:r>
      <w:r w:rsidR="00C728E3">
        <w:rPr>
          <w:rFonts w:ascii="Times New Roman" w:hAnsi="Times New Roman" w:cs="Times New Roman"/>
          <w:sz w:val="24"/>
          <w:szCs w:val="24"/>
        </w:rPr>
        <w:t>”</w:t>
      </w:r>
      <w:r w:rsidRPr="00046CF1">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[original emphasis].</w:t>
      </w:r>
    </w:p>
    <w:p w14:paraId="0AA71027" w14:textId="77777777" w:rsidR="00466BB7" w:rsidRDefault="00466BB7" w:rsidP="00134F2F">
      <w:pPr>
        <w:spacing w:line="360" w:lineRule="auto"/>
        <w:rPr>
          <w:rFonts w:ascii="Times New Roman" w:hAnsi="Times New Roman" w:cs="Times New Roman"/>
          <w:sz w:val="24"/>
          <w:szCs w:val="24"/>
        </w:rPr>
      </w:pPr>
      <w:r>
        <w:rPr>
          <w:rFonts w:ascii="Times New Roman" w:hAnsi="Times New Roman" w:cs="Times New Roman"/>
          <w:sz w:val="24"/>
          <w:szCs w:val="24"/>
        </w:rPr>
        <w:t>The Court of Appeal went on to state that:</w:t>
      </w:r>
    </w:p>
    <w:p w14:paraId="60425A5E" w14:textId="77777777" w:rsidR="00466BB7" w:rsidRDefault="00466BB7" w:rsidP="00134F2F">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We emphasise that the possibility of a transfer to the SICC should not be considered by plaintiffs as a free pass to elude all jurisdictional objections to the adjudication of a dispute in Singapore… a submission that the possibility of a transfer to the SICC weighs in favour of an exercise of jurisdiction by the Singapore courts must be grounded in specificity of argument and proof of evidence.</w:t>
      </w:r>
      <w:r>
        <w:rPr>
          <w:rFonts w:ascii="Times New Roman" w:hAnsi="Times New Roman" w:cs="Times New Roman"/>
          <w:sz w:val="24"/>
          <w:szCs w:val="24"/>
        </w:rPr>
        <w:t>”</w:t>
      </w:r>
    </w:p>
    <w:p w14:paraId="08299283" w14:textId="1A220D14" w:rsidR="00134F2F" w:rsidRDefault="00466BB7" w:rsidP="00134F2F">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this guidance may provide some comfort and certainty to parties litigating in Singapore, it does not detract from the fact that the flexibility accorded </w:t>
      </w:r>
      <w:r w:rsidR="009E4E4E">
        <w:rPr>
          <w:rFonts w:ascii="Times New Roman" w:hAnsi="Times New Roman" w:cs="Times New Roman"/>
          <w:sz w:val="24"/>
          <w:szCs w:val="24"/>
        </w:rPr>
        <w:t xml:space="preserve">by the </w:t>
      </w:r>
      <w:r w:rsidR="009E4E4E">
        <w:rPr>
          <w:rFonts w:ascii="Times New Roman" w:hAnsi="Times New Roman" w:cs="Times New Roman"/>
          <w:i/>
          <w:sz w:val="24"/>
          <w:szCs w:val="24"/>
        </w:rPr>
        <w:t xml:space="preserve">Spiliada </w:t>
      </w:r>
      <w:r w:rsidR="009E4E4E">
        <w:rPr>
          <w:rFonts w:ascii="Times New Roman" w:hAnsi="Times New Roman" w:cs="Times New Roman"/>
          <w:sz w:val="24"/>
          <w:szCs w:val="24"/>
        </w:rPr>
        <w:t>test may lead to courts applying the test seeking to deploy a “jurisdictional grab” where they can.</w:t>
      </w:r>
    </w:p>
    <w:p w14:paraId="19B9DDCB" w14:textId="734A04FC" w:rsidR="00134F2F" w:rsidRDefault="009E4E4E" w:rsidP="00046CF1">
      <w:pPr>
        <w:spacing w:line="360" w:lineRule="auto"/>
        <w:rPr>
          <w:rFonts w:ascii="Times New Roman" w:hAnsi="Times New Roman" w:cs="Times New Roman"/>
          <w:sz w:val="24"/>
          <w:szCs w:val="24"/>
        </w:rPr>
      </w:pPr>
      <w:r>
        <w:rPr>
          <w:rFonts w:ascii="Times New Roman" w:hAnsi="Times New Roman" w:cs="Times New Roman"/>
          <w:sz w:val="24"/>
          <w:szCs w:val="24"/>
        </w:rPr>
        <w:t>This tendency is illustrated by two recent cases heard in the DIFC Courts in Dubai.</w:t>
      </w:r>
    </w:p>
    <w:p w14:paraId="1EDC300E" w14:textId="02B96586" w:rsidR="006A2AC1" w:rsidRPr="00046CF1" w:rsidRDefault="009E4E4E" w:rsidP="00046CF1">
      <w:pPr>
        <w:spacing w:line="360" w:lineRule="auto"/>
        <w:rPr>
          <w:rFonts w:ascii="Times New Roman" w:hAnsi="Times New Roman" w:cs="Times New Roman"/>
          <w:sz w:val="24"/>
          <w:szCs w:val="24"/>
        </w:rPr>
      </w:pPr>
      <w:r>
        <w:rPr>
          <w:rFonts w:ascii="Times New Roman" w:hAnsi="Times New Roman" w:cs="Times New Roman"/>
          <w:sz w:val="24"/>
          <w:szCs w:val="24"/>
        </w:rPr>
        <w:t>The case of</w:t>
      </w:r>
      <w:r w:rsidR="006A2AC1" w:rsidRPr="00046CF1">
        <w:rPr>
          <w:rFonts w:ascii="Times New Roman" w:hAnsi="Times New Roman" w:cs="Times New Roman"/>
          <w:sz w:val="24"/>
          <w:szCs w:val="24"/>
        </w:rPr>
        <w:t xml:space="preserve"> </w:t>
      </w:r>
      <w:r w:rsidR="006A2AC1" w:rsidRPr="00046CF1">
        <w:rPr>
          <w:rFonts w:ascii="Times New Roman" w:hAnsi="Times New Roman" w:cs="Times New Roman"/>
          <w:i/>
          <w:sz w:val="24"/>
          <w:szCs w:val="24"/>
        </w:rPr>
        <w:t xml:space="preserve">Al Khorafi and Others v (1) Bank Sarasin-Alpen (ME) Ltd (2) Bank Sarasin &amp; Co. Ltd </w:t>
      </w:r>
      <w:r w:rsidR="006A2AC1" w:rsidRPr="00046CF1">
        <w:rPr>
          <w:rFonts w:ascii="Times New Roman" w:hAnsi="Times New Roman" w:cs="Times New Roman"/>
          <w:sz w:val="24"/>
          <w:szCs w:val="24"/>
        </w:rPr>
        <w:t xml:space="preserve">[2011] DIFC CA 003 concerned </w:t>
      </w:r>
      <w:r w:rsidR="00807277" w:rsidRPr="00046CF1">
        <w:rPr>
          <w:rFonts w:ascii="Times New Roman" w:hAnsi="Times New Roman" w:cs="Times New Roman"/>
          <w:sz w:val="24"/>
          <w:szCs w:val="24"/>
        </w:rPr>
        <w:t>claims for breach of con</w:t>
      </w:r>
      <w:r w:rsidR="00A445B8" w:rsidRPr="00046CF1">
        <w:rPr>
          <w:rFonts w:ascii="Times New Roman" w:hAnsi="Times New Roman" w:cs="Times New Roman"/>
          <w:sz w:val="24"/>
          <w:szCs w:val="24"/>
        </w:rPr>
        <w:t xml:space="preserve">tract, breaches of tortious duties of care and breaches of regulatory laws in connection with the alleged mis-selling of financial products. The </w:t>
      </w:r>
      <w:r>
        <w:rPr>
          <w:rFonts w:ascii="Times New Roman" w:hAnsi="Times New Roman" w:cs="Times New Roman"/>
          <w:sz w:val="24"/>
          <w:szCs w:val="24"/>
        </w:rPr>
        <w:t>c</w:t>
      </w:r>
      <w:r w:rsidR="00A445B8" w:rsidRPr="00046CF1">
        <w:rPr>
          <w:rFonts w:ascii="Times New Roman" w:hAnsi="Times New Roman" w:cs="Times New Roman"/>
          <w:sz w:val="24"/>
          <w:szCs w:val="24"/>
        </w:rPr>
        <w:t xml:space="preserve">laimants were domiciled in Kuwait, the </w:t>
      </w:r>
      <w:r>
        <w:rPr>
          <w:rFonts w:ascii="Times New Roman" w:hAnsi="Times New Roman" w:cs="Times New Roman"/>
          <w:sz w:val="24"/>
          <w:szCs w:val="24"/>
        </w:rPr>
        <w:t>f</w:t>
      </w:r>
      <w:r w:rsidR="00A445B8" w:rsidRPr="00046CF1">
        <w:rPr>
          <w:rFonts w:ascii="Times New Roman" w:hAnsi="Times New Roman" w:cs="Times New Roman"/>
          <w:sz w:val="24"/>
          <w:szCs w:val="24"/>
        </w:rPr>
        <w:t xml:space="preserve">irst </w:t>
      </w:r>
      <w:r>
        <w:rPr>
          <w:rFonts w:ascii="Times New Roman" w:hAnsi="Times New Roman" w:cs="Times New Roman"/>
          <w:sz w:val="24"/>
          <w:szCs w:val="24"/>
        </w:rPr>
        <w:t>d</w:t>
      </w:r>
      <w:r w:rsidR="00A445B8" w:rsidRPr="00046CF1">
        <w:rPr>
          <w:rFonts w:ascii="Times New Roman" w:hAnsi="Times New Roman" w:cs="Times New Roman"/>
          <w:sz w:val="24"/>
          <w:szCs w:val="24"/>
        </w:rPr>
        <w:t xml:space="preserve">efendant in Dubai and the </w:t>
      </w:r>
      <w:r>
        <w:rPr>
          <w:rFonts w:ascii="Times New Roman" w:hAnsi="Times New Roman" w:cs="Times New Roman"/>
          <w:sz w:val="24"/>
          <w:szCs w:val="24"/>
        </w:rPr>
        <w:t>s</w:t>
      </w:r>
      <w:r w:rsidR="00A445B8" w:rsidRPr="00046CF1">
        <w:rPr>
          <w:rFonts w:ascii="Times New Roman" w:hAnsi="Times New Roman" w:cs="Times New Roman"/>
          <w:sz w:val="24"/>
          <w:szCs w:val="24"/>
        </w:rPr>
        <w:t xml:space="preserve">econd </w:t>
      </w:r>
      <w:r>
        <w:rPr>
          <w:rFonts w:ascii="Times New Roman" w:hAnsi="Times New Roman" w:cs="Times New Roman"/>
          <w:sz w:val="24"/>
          <w:szCs w:val="24"/>
        </w:rPr>
        <w:t>d</w:t>
      </w:r>
      <w:r w:rsidR="00A445B8" w:rsidRPr="00046CF1">
        <w:rPr>
          <w:rFonts w:ascii="Times New Roman" w:hAnsi="Times New Roman" w:cs="Times New Roman"/>
          <w:sz w:val="24"/>
          <w:szCs w:val="24"/>
        </w:rPr>
        <w:t>efendant in Switzerland. The Court of Appeal was invited to consider</w:t>
      </w:r>
      <w:r w:rsidR="00172799" w:rsidRPr="00046CF1">
        <w:rPr>
          <w:rFonts w:ascii="Times New Roman" w:hAnsi="Times New Roman" w:cs="Times New Roman"/>
          <w:sz w:val="24"/>
          <w:szCs w:val="24"/>
        </w:rPr>
        <w:t xml:space="preserve"> an application to stay proceedings </w:t>
      </w:r>
      <w:r w:rsidR="00B71CE0">
        <w:rPr>
          <w:rFonts w:ascii="Times New Roman" w:hAnsi="Times New Roman" w:cs="Times New Roman"/>
          <w:sz w:val="24"/>
          <w:szCs w:val="24"/>
        </w:rPr>
        <w:t xml:space="preserve">between the claimants and the second defendant </w:t>
      </w:r>
      <w:r w:rsidR="00172799" w:rsidRPr="00046CF1">
        <w:rPr>
          <w:rFonts w:ascii="Times New Roman" w:hAnsi="Times New Roman" w:cs="Times New Roman"/>
          <w:sz w:val="24"/>
          <w:szCs w:val="24"/>
        </w:rPr>
        <w:t xml:space="preserve">in the DIFC on </w:t>
      </w:r>
      <w:r w:rsidR="00172799" w:rsidRPr="00046CF1">
        <w:rPr>
          <w:rFonts w:ascii="Times New Roman" w:hAnsi="Times New Roman" w:cs="Times New Roman"/>
          <w:i/>
          <w:sz w:val="24"/>
          <w:szCs w:val="24"/>
        </w:rPr>
        <w:t>forum non conveniens</w:t>
      </w:r>
      <w:r w:rsidR="00172799" w:rsidRPr="00046CF1">
        <w:rPr>
          <w:rFonts w:ascii="Times New Roman" w:hAnsi="Times New Roman" w:cs="Times New Roman"/>
          <w:sz w:val="24"/>
          <w:szCs w:val="24"/>
        </w:rPr>
        <w:t xml:space="preserve"> principles and in particular, on the basis that all claims between the Second Defendant and the Claimants were governed by a jurisdiction clause in favour of Switzerland.</w:t>
      </w:r>
    </w:p>
    <w:p w14:paraId="00956A0E" w14:textId="768149B7" w:rsidR="00F82983" w:rsidRDefault="00172799"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The Court of Appeal, having considered that</w:t>
      </w:r>
      <w:r w:rsidR="00614CD8" w:rsidRPr="00046CF1">
        <w:rPr>
          <w:rFonts w:ascii="Times New Roman" w:hAnsi="Times New Roman" w:cs="Times New Roman"/>
          <w:sz w:val="24"/>
          <w:szCs w:val="24"/>
        </w:rPr>
        <w:t xml:space="preserve"> the DIFC Courts’ jurisdiction was engaged, </w:t>
      </w:r>
      <w:r w:rsidR="00357BBB">
        <w:rPr>
          <w:rFonts w:ascii="Times New Roman" w:hAnsi="Times New Roman" w:cs="Times New Roman"/>
          <w:sz w:val="24"/>
          <w:szCs w:val="24"/>
        </w:rPr>
        <w:t xml:space="preserve">and </w:t>
      </w:r>
      <w:r w:rsidR="00614CD8" w:rsidRPr="00046CF1">
        <w:rPr>
          <w:rFonts w:ascii="Times New Roman" w:hAnsi="Times New Roman" w:cs="Times New Roman"/>
          <w:sz w:val="24"/>
          <w:szCs w:val="24"/>
        </w:rPr>
        <w:t xml:space="preserve">accepted that the jurisdiction clause was binding and that the natural forum for the claims against the Second Defendant was Switzerland. Nonetheless, the Court found that in the interests of “justice, convenience and fairness”, the DIFC was the appropriate jurisdiction within which the </w:t>
      </w:r>
      <w:r w:rsidR="00614CD8" w:rsidRPr="00046CF1">
        <w:rPr>
          <w:rFonts w:ascii="Times New Roman" w:hAnsi="Times New Roman" w:cs="Times New Roman"/>
          <w:sz w:val="24"/>
          <w:szCs w:val="24"/>
        </w:rPr>
        <w:lastRenderedPageBreak/>
        <w:t>claims against the Second Defendant should proceed.</w:t>
      </w:r>
      <w:r w:rsidR="00B71CE0">
        <w:rPr>
          <w:rStyle w:val="FootnoteReference"/>
          <w:rFonts w:ascii="Times New Roman" w:hAnsi="Times New Roman" w:cs="Times New Roman"/>
          <w:sz w:val="24"/>
          <w:szCs w:val="24"/>
        </w:rPr>
        <w:footnoteReference w:id="5"/>
      </w:r>
      <w:r w:rsidR="00614CD8" w:rsidRPr="00046CF1">
        <w:rPr>
          <w:rFonts w:ascii="Times New Roman" w:hAnsi="Times New Roman" w:cs="Times New Roman"/>
          <w:sz w:val="24"/>
          <w:szCs w:val="24"/>
        </w:rPr>
        <w:t xml:space="preserve"> </w:t>
      </w:r>
      <w:r w:rsidR="00B71CE0">
        <w:rPr>
          <w:rFonts w:ascii="Times New Roman" w:hAnsi="Times New Roman" w:cs="Times New Roman"/>
          <w:sz w:val="24"/>
          <w:szCs w:val="24"/>
        </w:rPr>
        <w:t>T</w:t>
      </w:r>
      <w:r w:rsidR="00614CD8" w:rsidRPr="00046CF1">
        <w:rPr>
          <w:rFonts w:ascii="Times New Roman" w:hAnsi="Times New Roman" w:cs="Times New Roman"/>
          <w:sz w:val="24"/>
          <w:szCs w:val="24"/>
        </w:rPr>
        <w:t>he judgment does not go into extensive reasoning as to why this decision was reached, save that the Court expresse</w:t>
      </w:r>
      <w:r w:rsidR="00B71CE0">
        <w:rPr>
          <w:rFonts w:ascii="Times New Roman" w:hAnsi="Times New Roman" w:cs="Times New Roman"/>
          <w:sz w:val="24"/>
          <w:szCs w:val="24"/>
        </w:rPr>
        <w:t xml:space="preserve">d </w:t>
      </w:r>
      <w:r w:rsidR="00614CD8" w:rsidRPr="00046CF1">
        <w:rPr>
          <w:rFonts w:ascii="Times New Roman" w:hAnsi="Times New Roman" w:cs="Times New Roman"/>
          <w:sz w:val="24"/>
          <w:szCs w:val="24"/>
        </w:rPr>
        <w:t>concern that concurrent litigation in different jurisdictions should be avoided</w:t>
      </w:r>
      <w:r w:rsidR="00B71CE0">
        <w:rPr>
          <w:rFonts w:ascii="Times New Roman" w:hAnsi="Times New Roman" w:cs="Times New Roman"/>
          <w:sz w:val="24"/>
          <w:szCs w:val="24"/>
        </w:rPr>
        <w:t xml:space="preserve"> and that claims against the first defendant would proceed within the DIFC.</w:t>
      </w:r>
    </w:p>
    <w:p w14:paraId="127FF324" w14:textId="667A2243" w:rsidR="00B71CE0" w:rsidRPr="00046CF1" w:rsidRDefault="00B71CE0" w:rsidP="00046CF1">
      <w:pPr>
        <w:spacing w:line="360" w:lineRule="auto"/>
        <w:rPr>
          <w:rFonts w:ascii="Times New Roman" w:hAnsi="Times New Roman" w:cs="Times New Roman"/>
          <w:sz w:val="24"/>
          <w:szCs w:val="24"/>
        </w:rPr>
      </w:pPr>
      <w:r>
        <w:rPr>
          <w:rFonts w:ascii="Times New Roman" w:hAnsi="Times New Roman" w:cs="Times New Roman"/>
          <w:sz w:val="24"/>
          <w:szCs w:val="24"/>
        </w:rPr>
        <w:t>It is arguable that the reasoning of the Court of Appeal is highly unsatisfactory; the broad brush of “justice” was operated to override a clear agreement between the parties, as well as a recognition that Switzerland was in any event the most appropriate forum for the hearing of the trial. It is furthermore unclear why the court could not use any other of its case management powers to deal with issues of current litigation and avoid a duplication of proceedings.</w:t>
      </w:r>
    </w:p>
    <w:p w14:paraId="222F911C" w14:textId="22B35CE6" w:rsidR="00FC63A0" w:rsidRPr="00046CF1" w:rsidRDefault="00666B54"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 xml:space="preserve">In the case of </w:t>
      </w:r>
      <w:r w:rsidRPr="00046CF1">
        <w:rPr>
          <w:rFonts w:ascii="Times New Roman" w:hAnsi="Times New Roman" w:cs="Times New Roman"/>
          <w:i/>
          <w:sz w:val="24"/>
          <w:szCs w:val="24"/>
        </w:rPr>
        <w:t xml:space="preserve">Tavira Securities Ltd v Re Point Ventures and others </w:t>
      </w:r>
      <w:r w:rsidRPr="00046CF1">
        <w:rPr>
          <w:rFonts w:ascii="Times New Roman" w:hAnsi="Times New Roman" w:cs="Times New Roman"/>
          <w:sz w:val="24"/>
          <w:szCs w:val="24"/>
        </w:rPr>
        <w:t>[2017] CFI 026, the DIFC Court of First</w:t>
      </w:r>
      <w:r w:rsidR="00F82983" w:rsidRPr="00046CF1">
        <w:rPr>
          <w:rFonts w:ascii="Times New Roman" w:hAnsi="Times New Roman" w:cs="Times New Roman"/>
          <w:sz w:val="24"/>
          <w:szCs w:val="24"/>
        </w:rPr>
        <w:t xml:space="preserve"> Instance dealt with two arguments from the Defendants – firstly that the DIFC Courts did not have jurisdiction over the contractual dispute because the Claimant, who was a </w:t>
      </w:r>
      <w:r w:rsidR="00C64ECC" w:rsidRPr="00046CF1">
        <w:rPr>
          <w:rFonts w:ascii="Times New Roman" w:hAnsi="Times New Roman" w:cs="Times New Roman"/>
          <w:sz w:val="24"/>
          <w:szCs w:val="24"/>
        </w:rPr>
        <w:t>licensed DIFC company</w:t>
      </w:r>
      <w:r w:rsidR="00F82983" w:rsidRPr="00046CF1">
        <w:rPr>
          <w:rFonts w:ascii="Times New Roman" w:hAnsi="Times New Roman" w:cs="Times New Roman"/>
          <w:sz w:val="24"/>
          <w:szCs w:val="24"/>
        </w:rPr>
        <w:t xml:space="preserve"> at the time the claim was issued, was not so registered at the time of the events giving rise to the claim. Secondly, and in the alternative, the Defendant’s argued that the court should decline to exercise jurisdiction either on the grounds of abuse of process or </w:t>
      </w:r>
      <w:r w:rsidR="00F82983" w:rsidRPr="00046CF1">
        <w:rPr>
          <w:rFonts w:ascii="Times New Roman" w:hAnsi="Times New Roman" w:cs="Times New Roman"/>
          <w:i/>
          <w:sz w:val="24"/>
          <w:szCs w:val="24"/>
        </w:rPr>
        <w:t>forum non conveniens</w:t>
      </w:r>
      <w:r w:rsidR="00F82983" w:rsidRPr="00046CF1">
        <w:rPr>
          <w:rFonts w:ascii="Times New Roman" w:hAnsi="Times New Roman" w:cs="Times New Roman"/>
          <w:sz w:val="24"/>
          <w:szCs w:val="24"/>
        </w:rPr>
        <w:t>.</w:t>
      </w:r>
    </w:p>
    <w:p w14:paraId="047E8D08" w14:textId="704F83C8" w:rsidR="00516A47" w:rsidRPr="00046CF1" w:rsidRDefault="00FC63A0"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Th</w:t>
      </w:r>
      <w:r w:rsidR="004D29A5" w:rsidRPr="00046CF1">
        <w:rPr>
          <w:rFonts w:ascii="Times New Roman" w:hAnsi="Times New Roman" w:cs="Times New Roman"/>
          <w:sz w:val="24"/>
          <w:szCs w:val="24"/>
        </w:rPr>
        <w:t>e argument regarding abuse of process was rejected relatively swiftly. As to jurisdiction, the</w:t>
      </w:r>
      <w:r w:rsidRPr="00046CF1">
        <w:rPr>
          <w:rFonts w:ascii="Times New Roman" w:hAnsi="Times New Roman" w:cs="Times New Roman"/>
          <w:sz w:val="24"/>
          <w:szCs w:val="24"/>
        </w:rPr>
        <w:t xml:space="preserve"> Court held that the legislation which confers on the DIFC jurisdiction to hear “civil commercial claims and actions to which the DIFC or any DIFC Body, DIFC Esta</w:t>
      </w:r>
      <w:r w:rsidR="00C64ECC" w:rsidRPr="00046CF1">
        <w:rPr>
          <w:rFonts w:ascii="Times New Roman" w:hAnsi="Times New Roman" w:cs="Times New Roman"/>
          <w:sz w:val="24"/>
          <w:szCs w:val="24"/>
        </w:rPr>
        <w:t>b</w:t>
      </w:r>
      <w:r w:rsidRPr="00046CF1">
        <w:rPr>
          <w:rFonts w:ascii="Times New Roman" w:hAnsi="Times New Roman" w:cs="Times New Roman"/>
          <w:sz w:val="24"/>
          <w:szCs w:val="24"/>
        </w:rPr>
        <w:t xml:space="preserve">lishment or Licensed DIFC Establishment is a party” (Article 5(A)(1)(a) Law No. 12 of 2004 as amended (“the Judicial Authority Law”) </w:t>
      </w:r>
      <w:r w:rsidR="00C64ECC" w:rsidRPr="00046CF1">
        <w:rPr>
          <w:rFonts w:ascii="Times New Roman" w:hAnsi="Times New Roman" w:cs="Times New Roman"/>
          <w:sz w:val="24"/>
          <w:szCs w:val="24"/>
        </w:rPr>
        <w:t>was available in cases where the claimant was not a licensed establishment p</w:t>
      </w:r>
      <w:r w:rsidR="004D29A5" w:rsidRPr="00046CF1">
        <w:rPr>
          <w:rFonts w:ascii="Times New Roman" w:hAnsi="Times New Roman" w:cs="Times New Roman"/>
          <w:sz w:val="24"/>
          <w:szCs w:val="24"/>
        </w:rPr>
        <w:t xml:space="preserve">rior to the events giving rise to the claim. Having established that the Court’s jurisdiction was engaged, the Court considered the question of whether the English courts were the more appropriate forum. The arguments put forward by the Defendants on this ground included the fact that the contract was due to be performed in England, the contract was governed by English law and that the shares which were the subject of the contract were quoted on the London Stock Exchange. </w:t>
      </w:r>
    </w:p>
    <w:p w14:paraId="46F2CE43" w14:textId="02AE1945" w:rsidR="00C9717C" w:rsidRPr="00046CF1" w:rsidRDefault="004D29A5"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lastRenderedPageBreak/>
        <w:t xml:space="preserve">In considering the Defendants’ arguments, the Court held that the Defendant had failed at the first limb of the </w:t>
      </w:r>
      <w:r w:rsidRPr="00046CF1">
        <w:rPr>
          <w:rFonts w:ascii="Times New Roman" w:hAnsi="Times New Roman" w:cs="Times New Roman"/>
          <w:i/>
          <w:sz w:val="24"/>
          <w:szCs w:val="24"/>
        </w:rPr>
        <w:t>Spiliada</w:t>
      </w:r>
      <w:r w:rsidRPr="00046CF1">
        <w:rPr>
          <w:rFonts w:ascii="Times New Roman" w:hAnsi="Times New Roman" w:cs="Times New Roman"/>
          <w:sz w:val="24"/>
          <w:szCs w:val="24"/>
        </w:rPr>
        <w:t xml:space="preserve"> test, namely that they had not established that England was clearly or distinctly mo</w:t>
      </w:r>
      <w:r w:rsidR="00C9717C" w:rsidRPr="00046CF1">
        <w:rPr>
          <w:rFonts w:ascii="Times New Roman" w:hAnsi="Times New Roman" w:cs="Times New Roman"/>
          <w:sz w:val="24"/>
          <w:szCs w:val="24"/>
        </w:rPr>
        <w:t xml:space="preserve">re appropriate than the DIFC Courts for the trial of the claim. </w:t>
      </w:r>
      <w:r w:rsidR="00B71CE0">
        <w:rPr>
          <w:rFonts w:ascii="Times New Roman" w:hAnsi="Times New Roman" w:cs="Times New Roman"/>
          <w:sz w:val="24"/>
          <w:szCs w:val="24"/>
        </w:rPr>
        <w:t xml:space="preserve">The analysis of the court, however, does suggest that the DIFC Court of First Instance was executing the very “jurisdictional grab” which was warned against the case of </w:t>
      </w:r>
      <w:r w:rsidR="00B71CE0">
        <w:rPr>
          <w:rFonts w:ascii="Times New Roman" w:hAnsi="Times New Roman" w:cs="Times New Roman"/>
          <w:i/>
          <w:sz w:val="24"/>
          <w:szCs w:val="24"/>
        </w:rPr>
        <w:t>Rappo</w:t>
      </w:r>
      <w:r w:rsidR="00C9717C" w:rsidRPr="00046CF1">
        <w:rPr>
          <w:rFonts w:ascii="Times New Roman" w:hAnsi="Times New Roman" w:cs="Times New Roman"/>
          <w:sz w:val="24"/>
          <w:szCs w:val="24"/>
        </w:rPr>
        <w:t>:</w:t>
      </w:r>
    </w:p>
    <w:p w14:paraId="52711A7F" w14:textId="4C94896E" w:rsidR="00C9717C" w:rsidRPr="00046CF1" w:rsidRDefault="00C9717C"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w:t>
      </w:r>
      <w:r w:rsidRPr="00046CF1">
        <w:rPr>
          <w:rFonts w:ascii="Times New Roman" w:hAnsi="Times New Roman" w:cs="Times New Roman"/>
          <w:i/>
          <w:sz w:val="24"/>
          <w:szCs w:val="24"/>
        </w:rPr>
        <w:t>That the alleged contract is highly likely to be governed by English law and England may well be the lex loci solutionis are weak factors</w:t>
      </w:r>
      <w:r w:rsidR="00357A9D" w:rsidRPr="00046CF1">
        <w:rPr>
          <w:rFonts w:ascii="Times New Roman" w:hAnsi="Times New Roman" w:cs="Times New Roman"/>
          <w:i/>
          <w:sz w:val="24"/>
          <w:szCs w:val="24"/>
        </w:rPr>
        <w:t xml:space="preserve"> in favour of the English High Court being clearly or distinctly more appropriate forum. The language of this Court is predominantly English and the Court is well familiar with English law. Nor is the fact that the shares which were the subject of the sell order were quoted on the LSE anything other than a weak connecting factor, this Court being well familiar with how the LSE operates and how equity bargains are settled in London.</w:t>
      </w:r>
      <w:r w:rsidR="00357A9D" w:rsidRPr="00046CF1">
        <w:rPr>
          <w:rFonts w:ascii="Times New Roman" w:hAnsi="Times New Roman" w:cs="Times New Roman"/>
          <w:sz w:val="24"/>
          <w:szCs w:val="24"/>
        </w:rPr>
        <w:t>”</w:t>
      </w:r>
      <w:r w:rsidR="000A49EF">
        <w:rPr>
          <w:rStyle w:val="FootnoteReference"/>
          <w:rFonts w:ascii="Times New Roman" w:hAnsi="Times New Roman" w:cs="Times New Roman"/>
          <w:sz w:val="24"/>
          <w:szCs w:val="24"/>
        </w:rPr>
        <w:footnoteReference w:id="6"/>
      </w:r>
      <w:r w:rsidR="00357A9D" w:rsidRPr="00046CF1">
        <w:rPr>
          <w:rFonts w:ascii="Times New Roman" w:hAnsi="Times New Roman" w:cs="Times New Roman"/>
          <w:sz w:val="24"/>
          <w:szCs w:val="24"/>
        </w:rPr>
        <w:t xml:space="preserve"> </w:t>
      </w:r>
    </w:p>
    <w:p w14:paraId="33D8DFA3" w14:textId="66FC2288" w:rsidR="00357A9D" w:rsidRPr="00046CF1" w:rsidRDefault="00B71CE0"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Court </w:t>
      </w:r>
      <w:r w:rsidR="00FE6072">
        <w:rPr>
          <w:rFonts w:ascii="Times New Roman" w:hAnsi="Times New Roman" w:cs="Times New Roman"/>
          <w:sz w:val="24"/>
          <w:szCs w:val="24"/>
        </w:rPr>
        <w:t>carried out an analysis</w:t>
      </w:r>
      <w:r w:rsidR="00357A9D" w:rsidRPr="00046CF1">
        <w:rPr>
          <w:rFonts w:ascii="Times New Roman" w:hAnsi="Times New Roman" w:cs="Times New Roman"/>
          <w:sz w:val="24"/>
          <w:szCs w:val="24"/>
        </w:rPr>
        <w:t xml:space="preserve"> other factors proposed by the Defendant but overall, it </w:t>
      </w:r>
      <w:r>
        <w:rPr>
          <w:rFonts w:ascii="Times New Roman" w:hAnsi="Times New Roman" w:cs="Times New Roman"/>
          <w:sz w:val="24"/>
          <w:szCs w:val="24"/>
        </w:rPr>
        <w:t>is highly suggestive t</w:t>
      </w:r>
      <w:r w:rsidR="00357A9D" w:rsidRPr="00046CF1">
        <w:rPr>
          <w:rFonts w:ascii="Times New Roman" w:hAnsi="Times New Roman" w:cs="Times New Roman"/>
          <w:sz w:val="24"/>
          <w:szCs w:val="24"/>
        </w:rPr>
        <w:t>hat the Court was expressing a desire to assert its competence to deal with the claim rather than genuinely considering where the centre of gravity of the dispute was.</w:t>
      </w:r>
    </w:p>
    <w:p w14:paraId="5F25BA37" w14:textId="0E7286D0" w:rsidR="00FE6072" w:rsidRDefault="00B71CE0" w:rsidP="005F1E91">
      <w:pPr>
        <w:spacing w:line="360" w:lineRule="auto"/>
        <w:rPr>
          <w:rFonts w:ascii="Times New Roman" w:hAnsi="Times New Roman" w:cs="Times New Roman"/>
          <w:sz w:val="24"/>
          <w:szCs w:val="24"/>
        </w:rPr>
      </w:pPr>
      <w:r>
        <w:rPr>
          <w:rFonts w:ascii="Times New Roman" w:hAnsi="Times New Roman" w:cs="Times New Roman"/>
          <w:sz w:val="24"/>
          <w:szCs w:val="24"/>
        </w:rPr>
        <w:t>The</w:t>
      </w:r>
      <w:r w:rsidR="00496B55">
        <w:rPr>
          <w:rFonts w:ascii="Times New Roman" w:hAnsi="Times New Roman" w:cs="Times New Roman"/>
          <w:sz w:val="24"/>
          <w:szCs w:val="24"/>
        </w:rPr>
        <w:t xml:space="preserve"> same </w:t>
      </w:r>
      <w:r w:rsidR="00FE6072">
        <w:rPr>
          <w:rFonts w:ascii="Times New Roman" w:hAnsi="Times New Roman" w:cs="Times New Roman"/>
          <w:sz w:val="24"/>
          <w:szCs w:val="24"/>
        </w:rPr>
        <w:t>inclination to prefer one’s own jurisdiction</w:t>
      </w:r>
      <w:r w:rsidR="00496B55">
        <w:rPr>
          <w:rFonts w:ascii="Times New Roman" w:hAnsi="Times New Roman" w:cs="Times New Roman"/>
          <w:sz w:val="24"/>
          <w:szCs w:val="24"/>
        </w:rPr>
        <w:t xml:space="preserve"> may </w:t>
      </w:r>
      <w:r w:rsidR="00FE6072">
        <w:rPr>
          <w:rFonts w:ascii="Times New Roman" w:hAnsi="Times New Roman" w:cs="Times New Roman"/>
          <w:sz w:val="24"/>
          <w:szCs w:val="24"/>
        </w:rPr>
        <w:t xml:space="preserve">increasingly </w:t>
      </w:r>
      <w:r w:rsidR="00496B55">
        <w:rPr>
          <w:rFonts w:ascii="Times New Roman" w:hAnsi="Times New Roman" w:cs="Times New Roman"/>
          <w:sz w:val="24"/>
          <w:szCs w:val="24"/>
        </w:rPr>
        <w:t xml:space="preserve">present itself to the Courts of England and Wales </w:t>
      </w:r>
      <w:r w:rsidR="00FE6072">
        <w:rPr>
          <w:rFonts w:ascii="Times New Roman" w:hAnsi="Times New Roman" w:cs="Times New Roman"/>
          <w:sz w:val="24"/>
          <w:szCs w:val="24"/>
        </w:rPr>
        <w:t xml:space="preserve">in the future </w:t>
      </w:r>
      <w:r w:rsidR="00496B55">
        <w:rPr>
          <w:rFonts w:ascii="Times New Roman" w:hAnsi="Times New Roman" w:cs="Times New Roman"/>
          <w:sz w:val="24"/>
          <w:szCs w:val="24"/>
        </w:rPr>
        <w:t>when deciding cases on the appropriate forum. As things currently stand, the terms of the United Kingdom’s withdrawal from the EU provide that the Brussels I (Recast) Regulation (Regulation (EU) 1215/2012) will only continue to apply</w:t>
      </w:r>
      <w:r w:rsidR="00B62051">
        <w:rPr>
          <w:rFonts w:ascii="Times New Roman" w:hAnsi="Times New Roman" w:cs="Times New Roman"/>
          <w:sz w:val="24"/>
          <w:szCs w:val="24"/>
        </w:rPr>
        <w:t xml:space="preserve"> in relation to proceedings instituted before the end of the transition period or actions which are related to such proceedings within the meaning of the Regulation’s </w:t>
      </w:r>
      <w:r w:rsidR="00B62051">
        <w:rPr>
          <w:rFonts w:ascii="Times New Roman" w:hAnsi="Times New Roman" w:cs="Times New Roman"/>
          <w:i/>
          <w:sz w:val="24"/>
          <w:szCs w:val="24"/>
        </w:rPr>
        <w:t>lis alibi pendens</w:t>
      </w:r>
      <w:r w:rsidR="00B62051">
        <w:rPr>
          <w:rFonts w:ascii="Times New Roman" w:hAnsi="Times New Roman" w:cs="Times New Roman"/>
          <w:sz w:val="24"/>
          <w:szCs w:val="24"/>
        </w:rPr>
        <w:t xml:space="preserve"> provisions.</w:t>
      </w:r>
      <w:r w:rsidR="00B62051">
        <w:rPr>
          <w:rStyle w:val="FootnoteReference"/>
          <w:rFonts w:ascii="Times New Roman" w:hAnsi="Times New Roman" w:cs="Times New Roman"/>
          <w:sz w:val="24"/>
          <w:szCs w:val="24"/>
        </w:rPr>
        <w:footnoteReference w:id="7"/>
      </w:r>
      <w:r w:rsidR="00B62051">
        <w:rPr>
          <w:rFonts w:ascii="Times New Roman" w:hAnsi="Times New Roman" w:cs="Times New Roman"/>
          <w:sz w:val="24"/>
          <w:szCs w:val="24"/>
        </w:rPr>
        <w:t xml:space="preserve"> In anticipation of the end of the Brexit transition period, courts in European countries are preparing themselves to be able to provide dispute commercial dispute resolution services to parties that may otherwise choose to litigate in London. Earlier this year, </w:t>
      </w:r>
      <w:r w:rsidR="00A27E1B">
        <w:rPr>
          <w:rFonts w:ascii="Times New Roman" w:hAnsi="Times New Roman" w:cs="Times New Roman"/>
          <w:sz w:val="24"/>
          <w:szCs w:val="24"/>
        </w:rPr>
        <w:t xml:space="preserve">the Paris Court of Appeal International Chamber (“CICAP”) became operational. The Chamber has jurisdiction over “transnational commercial disputes” and has adopted a flexible procedure whereby evidence may be heard in English and the bench, comprised of English-speaking judges familiar with principles of common law, will have the power to hear disputes governed by English law. It </w:t>
      </w:r>
      <w:r w:rsidR="00A27E1B">
        <w:rPr>
          <w:rFonts w:ascii="Times New Roman" w:hAnsi="Times New Roman" w:cs="Times New Roman"/>
          <w:sz w:val="24"/>
          <w:szCs w:val="24"/>
        </w:rPr>
        <w:lastRenderedPageBreak/>
        <w:t xml:space="preserve">is hard to see the CICAP as anything but a competitor to the Queen’s Bench Division of the High Court and with the broad scope of discretion afforded by the </w:t>
      </w:r>
      <w:r w:rsidR="00A27E1B">
        <w:rPr>
          <w:rFonts w:ascii="Times New Roman" w:hAnsi="Times New Roman" w:cs="Times New Roman"/>
          <w:i/>
          <w:sz w:val="24"/>
          <w:szCs w:val="24"/>
        </w:rPr>
        <w:t>Spiliada</w:t>
      </w:r>
      <w:r w:rsidR="00A27E1B">
        <w:rPr>
          <w:rFonts w:ascii="Times New Roman" w:hAnsi="Times New Roman" w:cs="Times New Roman"/>
          <w:sz w:val="24"/>
          <w:szCs w:val="24"/>
        </w:rPr>
        <w:t xml:space="preserve"> test, one may be wary that the English courts may also embark on a practice of judicial chauvinism.</w:t>
      </w:r>
    </w:p>
    <w:p w14:paraId="6A64159C" w14:textId="6C4637D8" w:rsidR="00FE6072" w:rsidRPr="00FE6072" w:rsidRDefault="00560FE0" w:rsidP="005F1E9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The</w:t>
      </w:r>
      <w:r w:rsidR="00FE6072">
        <w:rPr>
          <w:rFonts w:ascii="Times New Roman" w:hAnsi="Times New Roman" w:cs="Times New Roman"/>
          <w:b/>
          <w:sz w:val="24"/>
          <w:szCs w:val="24"/>
          <w:u w:val="single"/>
        </w:rPr>
        <w:t xml:space="preserve"> proposed restatement of the </w:t>
      </w:r>
      <w:r w:rsidR="00FE6072">
        <w:rPr>
          <w:rFonts w:ascii="Times New Roman" w:hAnsi="Times New Roman" w:cs="Times New Roman"/>
          <w:b/>
          <w:i/>
          <w:sz w:val="24"/>
          <w:szCs w:val="24"/>
          <w:u w:val="single"/>
        </w:rPr>
        <w:t>Spiliada</w:t>
      </w:r>
      <w:r w:rsidR="00FE6072">
        <w:rPr>
          <w:rFonts w:ascii="Times New Roman" w:hAnsi="Times New Roman" w:cs="Times New Roman"/>
          <w:b/>
          <w:sz w:val="24"/>
          <w:szCs w:val="24"/>
          <w:u w:val="single"/>
        </w:rPr>
        <w:t xml:space="preserve"> test</w:t>
      </w:r>
    </w:p>
    <w:p w14:paraId="59425DAC" w14:textId="77777777" w:rsidR="008A0CF1" w:rsidRDefault="00FE6072" w:rsidP="005F1E91">
      <w:pPr>
        <w:spacing w:line="360" w:lineRule="auto"/>
        <w:rPr>
          <w:rFonts w:ascii="Times New Roman" w:hAnsi="Times New Roman" w:cs="Times New Roman"/>
          <w:sz w:val="24"/>
          <w:szCs w:val="24"/>
        </w:rPr>
      </w:pPr>
      <w:r>
        <w:rPr>
          <w:rFonts w:ascii="Times New Roman" w:hAnsi="Times New Roman" w:cs="Times New Roman"/>
          <w:sz w:val="24"/>
          <w:szCs w:val="24"/>
        </w:rPr>
        <w:t xml:space="preserve">As can be seen above, the potential for judicial chauvinism in applying the </w:t>
      </w:r>
      <w:r>
        <w:rPr>
          <w:rFonts w:ascii="Times New Roman" w:hAnsi="Times New Roman" w:cs="Times New Roman"/>
          <w:i/>
          <w:sz w:val="24"/>
          <w:szCs w:val="24"/>
        </w:rPr>
        <w:t>Spiliada</w:t>
      </w:r>
      <w:r>
        <w:rPr>
          <w:rFonts w:ascii="Times New Roman" w:hAnsi="Times New Roman" w:cs="Times New Roman"/>
          <w:sz w:val="24"/>
          <w:szCs w:val="24"/>
        </w:rPr>
        <w:t xml:space="preserve"> test can emerge at either stage of the test – through a prioritization of a court’s own competence or thr</w:t>
      </w:r>
      <w:r w:rsidR="008A0CF1">
        <w:rPr>
          <w:rFonts w:ascii="Times New Roman" w:hAnsi="Times New Roman" w:cs="Times New Roman"/>
          <w:sz w:val="24"/>
          <w:szCs w:val="24"/>
        </w:rPr>
        <w:t>ough the guise of seeking to do “justice”</w:t>
      </w:r>
      <w:r w:rsidR="00B972F5">
        <w:rPr>
          <w:rFonts w:ascii="Times New Roman" w:hAnsi="Times New Roman" w:cs="Times New Roman"/>
          <w:sz w:val="24"/>
          <w:szCs w:val="24"/>
        </w:rPr>
        <w:t>.</w:t>
      </w:r>
      <w:r w:rsidR="008A0CF1">
        <w:rPr>
          <w:rFonts w:ascii="Times New Roman" w:hAnsi="Times New Roman" w:cs="Times New Roman"/>
          <w:sz w:val="24"/>
          <w:szCs w:val="24"/>
        </w:rPr>
        <w:t xml:space="preserve"> Both limbs of the test stand to be modified to control the basis on which courts decide the appropriate forum without becoming overly prescriptive.</w:t>
      </w:r>
    </w:p>
    <w:p w14:paraId="362A2BB7" w14:textId="77777777" w:rsidR="00C53E14" w:rsidRDefault="008A0CF1" w:rsidP="008A0CF1">
      <w:pPr>
        <w:spacing w:line="360" w:lineRule="auto"/>
        <w:rPr>
          <w:rFonts w:ascii="Times New Roman" w:hAnsi="Times New Roman" w:cs="Times New Roman"/>
          <w:sz w:val="24"/>
          <w:szCs w:val="24"/>
        </w:rPr>
      </w:pPr>
      <w:r>
        <w:rPr>
          <w:rFonts w:ascii="Times New Roman" w:hAnsi="Times New Roman" w:cs="Times New Roman"/>
          <w:sz w:val="24"/>
          <w:szCs w:val="24"/>
        </w:rPr>
        <w:t xml:space="preserve">In relation to the first limb, it is suggested that clear, judicial guidance is necessary as to factors which are indicative of a connection with a particular forum, such as the place of performance of a contract or the place where damage in relation to a tort took place. </w:t>
      </w:r>
    </w:p>
    <w:p w14:paraId="6B39C3CE" w14:textId="3B20D25A" w:rsidR="00C53E14" w:rsidRDefault="00C53E14" w:rsidP="008A0CF1">
      <w:pPr>
        <w:spacing w:line="360" w:lineRule="auto"/>
        <w:rPr>
          <w:rFonts w:ascii="Times New Roman" w:hAnsi="Times New Roman" w:cs="Times New Roman"/>
          <w:sz w:val="24"/>
          <w:szCs w:val="24"/>
        </w:rPr>
      </w:pPr>
      <w:r>
        <w:rPr>
          <w:rFonts w:ascii="Times New Roman" w:hAnsi="Times New Roman" w:cs="Times New Roman"/>
          <w:sz w:val="24"/>
          <w:szCs w:val="24"/>
        </w:rPr>
        <w:t xml:space="preserve">A modification of the first limb in this respect </w:t>
      </w:r>
      <w:r w:rsidR="008A0CF1">
        <w:rPr>
          <w:rFonts w:ascii="Times New Roman" w:hAnsi="Times New Roman" w:cs="Times New Roman"/>
          <w:sz w:val="24"/>
          <w:szCs w:val="24"/>
        </w:rPr>
        <w:t>would bring the test for the granting of a stay of proceedings in line with that for service out of the jurisdiction, as it would be reflective of (but perhaps not as prescriptive as) the factors listed in CPR PD 6B paragraph 3.1.</w:t>
      </w:r>
    </w:p>
    <w:p w14:paraId="3C92F37E" w14:textId="1823DD42" w:rsidR="00C53E14" w:rsidRDefault="008A0CF1" w:rsidP="008A0CF1">
      <w:pPr>
        <w:spacing w:line="360" w:lineRule="auto"/>
        <w:rPr>
          <w:rFonts w:ascii="Times New Roman" w:hAnsi="Times New Roman" w:cs="Times New Roman"/>
          <w:sz w:val="24"/>
          <w:szCs w:val="24"/>
        </w:rPr>
      </w:pPr>
      <w:r>
        <w:rPr>
          <w:rFonts w:ascii="Times New Roman" w:hAnsi="Times New Roman" w:cs="Times New Roman"/>
          <w:sz w:val="24"/>
          <w:szCs w:val="24"/>
        </w:rPr>
        <w:t>Above all else,</w:t>
      </w:r>
      <w:r w:rsidR="00C53E14">
        <w:rPr>
          <w:rFonts w:ascii="Times New Roman" w:hAnsi="Times New Roman" w:cs="Times New Roman"/>
          <w:sz w:val="24"/>
          <w:szCs w:val="24"/>
        </w:rPr>
        <w:t xml:space="preserve"> however,</w:t>
      </w:r>
      <w:r>
        <w:rPr>
          <w:rFonts w:ascii="Times New Roman" w:hAnsi="Times New Roman" w:cs="Times New Roman"/>
          <w:sz w:val="24"/>
          <w:szCs w:val="24"/>
        </w:rPr>
        <w:t xml:space="preserve"> any restatement of </w:t>
      </w:r>
      <w:r>
        <w:rPr>
          <w:rFonts w:ascii="Times New Roman" w:hAnsi="Times New Roman" w:cs="Times New Roman"/>
          <w:i/>
          <w:sz w:val="24"/>
          <w:szCs w:val="24"/>
        </w:rPr>
        <w:t>Spiliada</w:t>
      </w:r>
      <w:r>
        <w:rPr>
          <w:rFonts w:ascii="Times New Roman" w:hAnsi="Times New Roman" w:cs="Times New Roman"/>
          <w:sz w:val="24"/>
          <w:szCs w:val="24"/>
        </w:rPr>
        <w:t xml:space="preserve"> must make clear that the key consideration under the first limb is whether another forum is clearly more appropriate, rather than a reflection of whether the court deciding the matter would</w:t>
      </w:r>
      <w:r w:rsidR="00C53E14">
        <w:rPr>
          <w:rFonts w:ascii="Times New Roman" w:hAnsi="Times New Roman" w:cs="Times New Roman"/>
          <w:sz w:val="24"/>
          <w:szCs w:val="24"/>
        </w:rPr>
        <w:t xml:space="preserve"> itself</w:t>
      </w:r>
      <w:r>
        <w:rPr>
          <w:rFonts w:ascii="Times New Roman" w:hAnsi="Times New Roman" w:cs="Times New Roman"/>
          <w:sz w:val="24"/>
          <w:szCs w:val="24"/>
        </w:rPr>
        <w:t xml:space="preserve"> be competent to deal with a trial.</w:t>
      </w:r>
    </w:p>
    <w:p w14:paraId="66F420B7" w14:textId="7BDAE626" w:rsidR="008A0CF1" w:rsidRDefault="008A0CF1" w:rsidP="008A0CF1">
      <w:pPr>
        <w:spacing w:line="360" w:lineRule="auto"/>
        <w:rPr>
          <w:rFonts w:ascii="Times New Roman" w:hAnsi="Times New Roman" w:cs="Times New Roman"/>
          <w:sz w:val="24"/>
          <w:szCs w:val="24"/>
        </w:rPr>
      </w:pPr>
      <w:r>
        <w:rPr>
          <w:rFonts w:ascii="Times New Roman" w:hAnsi="Times New Roman" w:cs="Times New Roman"/>
          <w:sz w:val="24"/>
          <w:szCs w:val="24"/>
        </w:rPr>
        <w:t>As to the second limb,</w:t>
      </w:r>
      <w:r w:rsidR="00C53E14">
        <w:rPr>
          <w:rFonts w:ascii="Times New Roman" w:hAnsi="Times New Roman" w:cs="Times New Roman"/>
          <w:sz w:val="24"/>
          <w:szCs w:val="24"/>
        </w:rPr>
        <w:t xml:space="preserve"> this essay favours </w:t>
      </w:r>
      <w:r>
        <w:rPr>
          <w:rFonts w:ascii="Times New Roman" w:hAnsi="Times New Roman" w:cs="Times New Roman"/>
          <w:sz w:val="24"/>
          <w:szCs w:val="24"/>
        </w:rPr>
        <w:t xml:space="preserve">a return to </w:t>
      </w:r>
      <w:r w:rsidR="005972ED">
        <w:rPr>
          <w:rFonts w:ascii="Times New Roman" w:hAnsi="Times New Roman" w:cs="Times New Roman"/>
          <w:sz w:val="24"/>
          <w:szCs w:val="24"/>
        </w:rPr>
        <w:t xml:space="preserve">the approach in </w:t>
      </w:r>
      <w:r w:rsidR="005972ED">
        <w:rPr>
          <w:rFonts w:ascii="Times New Roman" w:hAnsi="Times New Roman" w:cs="Times New Roman"/>
          <w:i/>
          <w:sz w:val="24"/>
          <w:szCs w:val="24"/>
        </w:rPr>
        <w:t xml:space="preserve">Macshannon v Rockware Glass Ltd </w:t>
      </w:r>
      <w:r w:rsidR="005972ED">
        <w:rPr>
          <w:rFonts w:ascii="Times New Roman" w:hAnsi="Times New Roman" w:cs="Times New Roman"/>
          <w:sz w:val="24"/>
          <w:szCs w:val="24"/>
        </w:rPr>
        <w:t xml:space="preserve">[1978] AC 795 and </w:t>
      </w:r>
      <w:r>
        <w:rPr>
          <w:rFonts w:ascii="Times New Roman" w:hAnsi="Times New Roman" w:cs="Times New Roman"/>
          <w:sz w:val="24"/>
          <w:szCs w:val="24"/>
        </w:rPr>
        <w:t>conside</w:t>
      </w:r>
      <w:r w:rsidR="005972ED">
        <w:rPr>
          <w:rFonts w:ascii="Times New Roman" w:hAnsi="Times New Roman" w:cs="Times New Roman"/>
          <w:sz w:val="24"/>
          <w:szCs w:val="24"/>
        </w:rPr>
        <w:t xml:space="preserve">r </w:t>
      </w:r>
      <w:r>
        <w:rPr>
          <w:rFonts w:ascii="Times New Roman" w:hAnsi="Times New Roman" w:cs="Times New Roman"/>
          <w:sz w:val="24"/>
          <w:szCs w:val="24"/>
        </w:rPr>
        <w:t>whether a claimant would lose some personal or juridical advantage if the matter were to be heard in another forum, as</w:t>
      </w:r>
      <w:r w:rsidR="005972ED">
        <w:rPr>
          <w:rFonts w:ascii="Times New Roman" w:hAnsi="Times New Roman" w:cs="Times New Roman"/>
          <w:sz w:val="24"/>
          <w:szCs w:val="24"/>
        </w:rPr>
        <w:t xml:space="preserve"> opposed to a focus on whether “substantial justice” could be achieved in the other jurisdiction.</w:t>
      </w:r>
    </w:p>
    <w:p w14:paraId="17BC27BC" w14:textId="3DB0CCCF" w:rsidR="00C53E14" w:rsidRDefault="00C53E14" w:rsidP="008A0CF1">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restatement is crucial firstly in order to curtail the practice of parties advancing numerous arguments and producing excessive submissions in order to appeal to the court’s sense of justice. This tendancy was condemned by Lord Neuberger in </w:t>
      </w:r>
      <w:r>
        <w:rPr>
          <w:rFonts w:ascii="Times New Roman" w:hAnsi="Times New Roman" w:cs="Times New Roman"/>
          <w:i/>
          <w:sz w:val="24"/>
          <w:szCs w:val="24"/>
        </w:rPr>
        <w:t xml:space="preserve">VTB Capital v Nutritek </w:t>
      </w:r>
      <w:r>
        <w:rPr>
          <w:rFonts w:ascii="Times New Roman" w:hAnsi="Times New Roman" w:cs="Times New Roman"/>
          <w:sz w:val="24"/>
          <w:szCs w:val="24"/>
        </w:rPr>
        <w:t xml:space="preserve">[2013] UKSC 5, </w:t>
      </w:r>
      <w:r>
        <w:rPr>
          <w:rFonts w:ascii="Times New Roman" w:hAnsi="Times New Roman" w:cs="Times New Roman"/>
          <w:sz w:val="24"/>
          <w:szCs w:val="24"/>
        </w:rPr>
        <w:lastRenderedPageBreak/>
        <w:t>who further emphasized that the consideration of the appropriate forum for a claim was a procedural one.</w:t>
      </w:r>
      <w:r>
        <w:rPr>
          <w:rStyle w:val="FootnoteReference"/>
          <w:rFonts w:ascii="Times New Roman" w:hAnsi="Times New Roman" w:cs="Times New Roman"/>
          <w:sz w:val="24"/>
          <w:szCs w:val="24"/>
        </w:rPr>
        <w:footnoteReference w:id="8"/>
      </w:r>
    </w:p>
    <w:p w14:paraId="01BC7DAD" w14:textId="64192B92" w:rsidR="00935129" w:rsidRDefault="00560FE0" w:rsidP="008A0CF1">
      <w:pPr>
        <w:spacing w:line="360" w:lineRule="auto"/>
        <w:rPr>
          <w:rFonts w:ascii="Times New Roman" w:hAnsi="Times New Roman" w:cs="Times New Roman"/>
          <w:sz w:val="24"/>
          <w:szCs w:val="24"/>
        </w:rPr>
      </w:pPr>
      <w:r>
        <w:rPr>
          <w:rFonts w:ascii="Times New Roman" w:hAnsi="Times New Roman" w:cs="Times New Roman"/>
          <w:sz w:val="24"/>
          <w:szCs w:val="24"/>
        </w:rPr>
        <w:t>Secondly</w:t>
      </w:r>
      <w:r w:rsidR="00935129">
        <w:rPr>
          <w:rFonts w:ascii="Times New Roman" w:hAnsi="Times New Roman" w:cs="Times New Roman"/>
          <w:sz w:val="24"/>
          <w:szCs w:val="24"/>
        </w:rPr>
        <w:t xml:space="preserve">, such a restatement would act as an effective “backstop” in balancing the availability of another forum with the Claimant’s procedural right to commence proceedings in the jurisdiction within which the stay application has been made. In its current formulation, there is a tendancy for primacy to be given to the “interests of justice” which overrides the finding that an appropriate forum has been established. Regard for the personal or juridical advantage that would be lost to the claimant retains the focus on the second limb acting as a safeguard to the main consideration of the appropriate forum. </w:t>
      </w:r>
    </w:p>
    <w:p w14:paraId="2A9D1115" w14:textId="0EA59E14" w:rsidR="00560FE0" w:rsidRPr="00C53E14" w:rsidRDefault="00560FE0" w:rsidP="008A0CF1">
      <w:pPr>
        <w:spacing w:line="360" w:lineRule="auto"/>
        <w:rPr>
          <w:rFonts w:ascii="Times New Roman" w:hAnsi="Times New Roman" w:cs="Times New Roman"/>
          <w:sz w:val="24"/>
          <w:szCs w:val="24"/>
        </w:rPr>
      </w:pPr>
      <w:r>
        <w:rPr>
          <w:rFonts w:ascii="Times New Roman" w:hAnsi="Times New Roman" w:cs="Times New Roman"/>
          <w:sz w:val="24"/>
          <w:szCs w:val="24"/>
        </w:rPr>
        <w:t>Finally, the test would assist with the elimination of forum shopping by claimants in courts where jurisdictional gateways are broad and, in reality, a claimant would not be disadvantaged by a stay of proceedings.</w:t>
      </w:r>
    </w:p>
    <w:p w14:paraId="245C8C0E" w14:textId="5546F992" w:rsidR="00516A47" w:rsidRDefault="00C728E3" w:rsidP="00046CF1">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1EE149BB" w14:textId="554F47E2" w:rsidR="00C728E3" w:rsidRDefault="00C728E3" w:rsidP="00046CF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Spiliada </w:t>
      </w:r>
      <w:r>
        <w:rPr>
          <w:rFonts w:ascii="Times New Roman" w:hAnsi="Times New Roman" w:cs="Times New Roman"/>
          <w:sz w:val="24"/>
          <w:szCs w:val="24"/>
        </w:rPr>
        <w:t xml:space="preserve">test represented a balanced drawing-together of previous authorities on </w:t>
      </w:r>
      <w:r>
        <w:rPr>
          <w:rFonts w:ascii="Times New Roman" w:hAnsi="Times New Roman" w:cs="Times New Roman"/>
          <w:i/>
          <w:sz w:val="24"/>
          <w:szCs w:val="24"/>
        </w:rPr>
        <w:t>forum non conveniens</w:t>
      </w:r>
      <w:r>
        <w:rPr>
          <w:rFonts w:ascii="Times New Roman" w:hAnsi="Times New Roman" w:cs="Times New Roman"/>
          <w:sz w:val="24"/>
          <w:szCs w:val="24"/>
        </w:rPr>
        <w:t xml:space="preserve"> which reflected a spirit of judicial comity rather than judicial chauvinism. However, if judicial comity is to be encouraged, the test must incorporate safeguards against the instances of judicial chauvinism which can and do arise in its application. </w:t>
      </w:r>
      <w:r w:rsidR="00777C60">
        <w:rPr>
          <w:rFonts w:ascii="Times New Roman" w:hAnsi="Times New Roman" w:cs="Times New Roman"/>
          <w:sz w:val="24"/>
          <w:szCs w:val="24"/>
        </w:rPr>
        <w:t xml:space="preserve">A focus on the primacy of the appropriate forum and on the procedural disadvantages to a claimant that service out might present will restrict the instances of judicial chauvinism which the English law seeks to curtail. </w:t>
      </w:r>
    </w:p>
    <w:p w14:paraId="5B3291C6" w14:textId="77777777" w:rsidR="00761AF3" w:rsidRDefault="00761AF3" w:rsidP="00046CF1">
      <w:pPr>
        <w:spacing w:line="360" w:lineRule="auto"/>
        <w:rPr>
          <w:rFonts w:ascii="Times New Roman" w:hAnsi="Times New Roman" w:cs="Times New Roman"/>
          <w:sz w:val="24"/>
          <w:szCs w:val="24"/>
        </w:rPr>
      </w:pPr>
    </w:p>
    <w:p w14:paraId="3E0F3AC9" w14:textId="694F1366" w:rsidR="00761AF3" w:rsidRPr="00761AF3" w:rsidRDefault="00761AF3" w:rsidP="00761AF3">
      <w:pPr>
        <w:spacing w:line="360" w:lineRule="auto"/>
        <w:jc w:val="right"/>
        <w:rPr>
          <w:rFonts w:ascii="Times New Roman" w:hAnsi="Times New Roman" w:cs="Times New Roman"/>
          <w:b/>
          <w:sz w:val="24"/>
          <w:szCs w:val="24"/>
        </w:rPr>
      </w:pPr>
      <w:r>
        <w:rPr>
          <w:rFonts w:ascii="Times New Roman" w:hAnsi="Times New Roman" w:cs="Times New Roman"/>
          <w:b/>
          <w:sz w:val="24"/>
          <w:szCs w:val="24"/>
        </w:rPr>
        <w:t>Sahana Jayakumar</w:t>
      </w:r>
      <w:bookmarkStart w:id="0" w:name="_GoBack"/>
      <w:bookmarkEnd w:id="0"/>
    </w:p>
    <w:p w14:paraId="78FDE962" w14:textId="3FEF44FF" w:rsidR="00516A47" w:rsidRPr="00046CF1" w:rsidRDefault="00516A47" w:rsidP="00046CF1">
      <w:pPr>
        <w:spacing w:line="360" w:lineRule="auto"/>
        <w:rPr>
          <w:rFonts w:ascii="Times New Roman" w:hAnsi="Times New Roman" w:cs="Times New Roman"/>
          <w:sz w:val="24"/>
          <w:szCs w:val="24"/>
        </w:rPr>
      </w:pPr>
    </w:p>
    <w:p w14:paraId="5936AFCB" w14:textId="2202F1B0" w:rsidR="00516A47" w:rsidRPr="00046CF1" w:rsidRDefault="00516A47" w:rsidP="00046CF1">
      <w:pPr>
        <w:spacing w:line="360" w:lineRule="auto"/>
        <w:rPr>
          <w:rFonts w:ascii="Times New Roman" w:hAnsi="Times New Roman" w:cs="Times New Roman"/>
          <w:sz w:val="24"/>
          <w:szCs w:val="24"/>
        </w:rPr>
      </w:pPr>
    </w:p>
    <w:p w14:paraId="65FEB8D6" w14:textId="7805EA04" w:rsidR="00516A47" w:rsidRPr="00046CF1" w:rsidRDefault="00516A47" w:rsidP="00046CF1">
      <w:pPr>
        <w:spacing w:line="360" w:lineRule="auto"/>
        <w:rPr>
          <w:rFonts w:ascii="Times New Roman" w:hAnsi="Times New Roman" w:cs="Times New Roman"/>
          <w:sz w:val="24"/>
          <w:szCs w:val="24"/>
        </w:rPr>
      </w:pPr>
    </w:p>
    <w:p w14:paraId="15EF9A76" w14:textId="24054FD9" w:rsidR="00516A47" w:rsidRPr="00046CF1" w:rsidRDefault="00516A47" w:rsidP="00046CF1">
      <w:pPr>
        <w:spacing w:line="360" w:lineRule="auto"/>
        <w:rPr>
          <w:rFonts w:ascii="Times New Roman" w:hAnsi="Times New Roman" w:cs="Times New Roman"/>
          <w:sz w:val="24"/>
          <w:szCs w:val="24"/>
        </w:rPr>
      </w:pPr>
    </w:p>
    <w:p w14:paraId="7AD50D66" w14:textId="5A6FEC87" w:rsidR="00516A47" w:rsidRPr="00046CF1" w:rsidRDefault="00516A47" w:rsidP="00046CF1">
      <w:pPr>
        <w:spacing w:line="360" w:lineRule="auto"/>
        <w:rPr>
          <w:rFonts w:ascii="Times New Roman" w:hAnsi="Times New Roman" w:cs="Times New Roman"/>
          <w:sz w:val="24"/>
          <w:szCs w:val="24"/>
        </w:rPr>
      </w:pPr>
    </w:p>
    <w:p w14:paraId="12D1D53B" w14:textId="16EDF846" w:rsidR="00516A47" w:rsidRPr="00046CF1" w:rsidRDefault="00516A47" w:rsidP="00046CF1">
      <w:pPr>
        <w:spacing w:line="360" w:lineRule="auto"/>
        <w:rPr>
          <w:rFonts w:ascii="Times New Roman" w:hAnsi="Times New Roman" w:cs="Times New Roman"/>
          <w:sz w:val="24"/>
          <w:szCs w:val="24"/>
        </w:rPr>
      </w:pPr>
    </w:p>
    <w:p w14:paraId="425A65FA" w14:textId="77777777" w:rsidR="00516A47" w:rsidRPr="00046CF1" w:rsidRDefault="00516A47" w:rsidP="00046CF1">
      <w:pPr>
        <w:spacing w:line="360" w:lineRule="auto"/>
        <w:rPr>
          <w:rFonts w:ascii="Times New Roman" w:hAnsi="Times New Roman" w:cs="Times New Roman"/>
          <w:sz w:val="24"/>
          <w:szCs w:val="24"/>
        </w:rPr>
      </w:pPr>
    </w:p>
    <w:p w14:paraId="162EB37E" w14:textId="77777777" w:rsidR="007E4AFB" w:rsidRPr="00046CF1" w:rsidRDefault="007E4AFB" w:rsidP="00046CF1">
      <w:pPr>
        <w:spacing w:line="360" w:lineRule="auto"/>
        <w:rPr>
          <w:rFonts w:ascii="Times New Roman" w:hAnsi="Times New Roman" w:cs="Times New Roman"/>
          <w:sz w:val="24"/>
          <w:szCs w:val="24"/>
        </w:rPr>
      </w:pPr>
    </w:p>
    <w:p w14:paraId="0314E7A9" w14:textId="6CDC7F13" w:rsidR="00F97280" w:rsidRPr="00046CF1" w:rsidRDefault="00B62051" w:rsidP="00B62051">
      <w:pPr>
        <w:rPr>
          <w:rFonts w:ascii="Times New Roman" w:hAnsi="Times New Roman" w:cs="Times New Roman"/>
          <w:sz w:val="24"/>
          <w:szCs w:val="24"/>
        </w:rPr>
      </w:pPr>
      <w:r>
        <w:rPr>
          <w:rFonts w:ascii="Times New Roman" w:hAnsi="Times New Roman" w:cs="Times New Roman"/>
          <w:sz w:val="24"/>
          <w:szCs w:val="24"/>
        </w:rPr>
        <w:br w:type="page"/>
      </w:r>
    </w:p>
    <w:p w14:paraId="247DAAB9" w14:textId="77777777" w:rsidR="00E85E5A" w:rsidRPr="00046CF1" w:rsidRDefault="00E85E5A" w:rsidP="00046CF1">
      <w:pPr>
        <w:spacing w:line="360" w:lineRule="auto"/>
        <w:rPr>
          <w:rFonts w:ascii="Times New Roman" w:hAnsi="Times New Roman" w:cs="Times New Roman"/>
          <w:sz w:val="24"/>
          <w:szCs w:val="24"/>
        </w:rPr>
      </w:pPr>
    </w:p>
    <w:p w14:paraId="53B21042" w14:textId="52662089" w:rsidR="00D349E7" w:rsidRPr="00046CF1" w:rsidRDefault="00D349E7" w:rsidP="00046CF1">
      <w:pPr>
        <w:spacing w:line="360" w:lineRule="auto"/>
        <w:rPr>
          <w:rFonts w:ascii="Times New Roman" w:hAnsi="Times New Roman" w:cs="Times New Roman"/>
          <w:sz w:val="24"/>
          <w:szCs w:val="24"/>
        </w:rPr>
      </w:pPr>
      <w:r w:rsidRPr="00046CF1">
        <w:rPr>
          <w:rFonts w:ascii="Times New Roman" w:hAnsi="Times New Roman" w:cs="Times New Roman"/>
          <w:sz w:val="24"/>
          <w:szCs w:val="24"/>
        </w:rPr>
        <w:tab/>
      </w:r>
    </w:p>
    <w:sectPr w:rsidR="00D349E7" w:rsidRPr="00046CF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0F0F0" w14:textId="77777777" w:rsidR="00AF5092" w:rsidRDefault="00AF5092" w:rsidP="009532F4">
      <w:pPr>
        <w:spacing w:after="0" w:line="240" w:lineRule="auto"/>
      </w:pPr>
      <w:r>
        <w:separator/>
      </w:r>
    </w:p>
  </w:endnote>
  <w:endnote w:type="continuationSeparator" w:id="0">
    <w:p w14:paraId="4706E933" w14:textId="77777777" w:rsidR="00AF5092" w:rsidRDefault="00AF5092" w:rsidP="0095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888505"/>
      <w:docPartObj>
        <w:docPartGallery w:val="Page Numbers (Bottom of Page)"/>
        <w:docPartUnique/>
      </w:docPartObj>
    </w:sdtPr>
    <w:sdtEndPr>
      <w:rPr>
        <w:rStyle w:val="PageNumber"/>
      </w:rPr>
    </w:sdtEndPr>
    <w:sdtContent>
      <w:p w14:paraId="115BAFC8" w14:textId="341E2C6F" w:rsidR="00FF2B15" w:rsidRDefault="00FF2B15" w:rsidP="00CB11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7AFAF" w14:textId="77777777" w:rsidR="00FF2B15" w:rsidRDefault="00FF2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63931395"/>
      <w:docPartObj>
        <w:docPartGallery w:val="Page Numbers (Bottom of Page)"/>
        <w:docPartUnique/>
      </w:docPartObj>
    </w:sdtPr>
    <w:sdtEndPr>
      <w:rPr>
        <w:rStyle w:val="PageNumber"/>
      </w:rPr>
    </w:sdtEndPr>
    <w:sdtContent>
      <w:p w14:paraId="5F95C037" w14:textId="07AA5CCB" w:rsidR="00FF2B15" w:rsidRDefault="00FF2B15" w:rsidP="00CB11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1AF3">
          <w:rPr>
            <w:rStyle w:val="PageNumber"/>
            <w:noProof/>
          </w:rPr>
          <w:t>10</w:t>
        </w:r>
        <w:r>
          <w:rPr>
            <w:rStyle w:val="PageNumber"/>
          </w:rPr>
          <w:fldChar w:fldCharType="end"/>
        </w:r>
      </w:p>
    </w:sdtContent>
  </w:sdt>
  <w:p w14:paraId="2385D053" w14:textId="77777777" w:rsidR="00FF2B15" w:rsidRDefault="00FF2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3A564" w14:textId="77777777" w:rsidR="00AF5092" w:rsidRDefault="00AF5092" w:rsidP="009532F4">
      <w:pPr>
        <w:spacing w:after="0" w:line="240" w:lineRule="auto"/>
      </w:pPr>
      <w:r>
        <w:separator/>
      </w:r>
    </w:p>
  </w:footnote>
  <w:footnote w:type="continuationSeparator" w:id="0">
    <w:p w14:paraId="5AB27CA6" w14:textId="77777777" w:rsidR="00AF5092" w:rsidRDefault="00AF5092" w:rsidP="009532F4">
      <w:pPr>
        <w:spacing w:after="0" w:line="240" w:lineRule="auto"/>
      </w:pPr>
      <w:r>
        <w:continuationSeparator/>
      </w:r>
    </w:p>
  </w:footnote>
  <w:footnote w:id="1">
    <w:p w14:paraId="5E2C1B50" w14:textId="2D403C50" w:rsidR="005F1E91" w:rsidRPr="005F1E91" w:rsidRDefault="005F1E91">
      <w:pPr>
        <w:pStyle w:val="FootnoteText"/>
        <w:rPr>
          <w:lang w:val="en-GB"/>
        </w:rPr>
      </w:pPr>
      <w:r>
        <w:rPr>
          <w:rStyle w:val="FootnoteReference"/>
        </w:rPr>
        <w:footnoteRef/>
      </w:r>
      <w:r>
        <w:t xml:space="preserve"> </w:t>
      </w:r>
      <w:r>
        <w:rPr>
          <w:lang w:val="en-GB"/>
        </w:rPr>
        <w:tab/>
      </w:r>
      <w:r>
        <w:rPr>
          <w:i/>
          <w:lang w:val="en-GB"/>
        </w:rPr>
        <w:t>The Spiliada,</w:t>
      </w:r>
      <w:r>
        <w:rPr>
          <w:lang w:val="en-GB"/>
        </w:rPr>
        <w:t xml:space="preserve"> at 476C.</w:t>
      </w:r>
    </w:p>
  </w:footnote>
  <w:footnote w:id="2">
    <w:p w14:paraId="41EE5966" w14:textId="5BF300CB" w:rsidR="00AA5BE7" w:rsidRPr="00AA5BE7" w:rsidRDefault="00AA5BE7">
      <w:pPr>
        <w:pStyle w:val="FootnoteText"/>
        <w:rPr>
          <w:lang w:val="en-GB"/>
        </w:rPr>
      </w:pPr>
      <w:r>
        <w:rPr>
          <w:rStyle w:val="FootnoteReference"/>
        </w:rPr>
        <w:footnoteRef/>
      </w:r>
      <w:r>
        <w:t xml:space="preserve"> </w:t>
      </w:r>
      <w:r>
        <w:rPr>
          <w:lang w:val="en-GB"/>
        </w:rPr>
        <w:tab/>
      </w:r>
      <w:r w:rsidR="00D65F3E">
        <w:rPr>
          <w:lang w:val="en-GB"/>
        </w:rPr>
        <w:t>Singapore International Commercial Court Procedural Guide, January 2017, rule 2.1.</w:t>
      </w:r>
    </w:p>
  </w:footnote>
  <w:footnote w:id="3">
    <w:p w14:paraId="5D2BDD68" w14:textId="57541DE6" w:rsidR="00EA1B68" w:rsidRPr="00EA1B68" w:rsidRDefault="00EA1B68" w:rsidP="00FE6072">
      <w:pPr>
        <w:pStyle w:val="FootnoteText"/>
        <w:ind w:left="709" w:hanging="709"/>
        <w:rPr>
          <w:lang w:val="en-GB"/>
        </w:rPr>
      </w:pPr>
      <w:r>
        <w:rPr>
          <w:rStyle w:val="FootnoteReference"/>
        </w:rPr>
        <w:footnoteRef/>
      </w:r>
      <w:r>
        <w:t xml:space="preserve"> </w:t>
      </w:r>
      <w:r>
        <w:rPr>
          <w:lang w:val="en-GB"/>
        </w:rPr>
        <w:tab/>
        <w:t>See also the Paris Court of Appeal International Chamber (CICAP) discussed below, whose jurisdiction covers “transnational commercial disputes”.</w:t>
      </w:r>
    </w:p>
  </w:footnote>
  <w:footnote w:id="4">
    <w:p w14:paraId="3DE67206" w14:textId="77777777" w:rsidR="00134F2F" w:rsidRPr="00E85E5A" w:rsidRDefault="00134F2F" w:rsidP="00134F2F">
      <w:pPr>
        <w:pStyle w:val="FootnoteText"/>
        <w:rPr>
          <w:lang w:val="en-GB"/>
        </w:rPr>
      </w:pPr>
      <w:r>
        <w:rPr>
          <w:rStyle w:val="FootnoteReference"/>
        </w:rPr>
        <w:footnoteRef/>
      </w:r>
      <w:r>
        <w:t xml:space="preserve"> </w:t>
      </w:r>
      <w:r>
        <w:rPr>
          <w:lang w:val="en-GB"/>
        </w:rPr>
        <w:tab/>
      </w:r>
      <w:r>
        <w:rPr>
          <w:i/>
        </w:rPr>
        <w:t xml:space="preserve">Rappo v Accent Delight International Ltd and another and another appeal </w:t>
      </w:r>
      <w:r>
        <w:t>[2017] SGCA 27, para. 123.</w:t>
      </w:r>
    </w:p>
  </w:footnote>
  <w:footnote w:id="5">
    <w:p w14:paraId="58F5E877" w14:textId="3E4835F0" w:rsidR="00B71CE0" w:rsidRPr="00B71CE0" w:rsidRDefault="00B71CE0">
      <w:pPr>
        <w:pStyle w:val="FootnoteText"/>
        <w:rPr>
          <w:lang w:val="en-GB"/>
        </w:rPr>
      </w:pPr>
      <w:r>
        <w:rPr>
          <w:rStyle w:val="FootnoteReference"/>
        </w:rPr>
        <w:footnoteRef/>
      </w:r>
      <w:r>
        <w:t xml:space="preserve"> </w:t>
      </w:r>
      <w:r>
        <w:rPr>
          <w:lang w:val="en-GB"/>
        </w:rPr>
        <w:tab/>
      </w:r>
      <w:r>
        <w:rPr>
          <w:i/>
          <w:lang w:val="en-GB"/>
        </w:rPr>
        <w:t>Al Khorafi</w:t>
      </w:r>
      <w:r>
        <w:rPr>
          <w:lang w:val="en-GB"/>
        </w:rPr>
        <w:t>, para. 119.</w:t>
      </w:r>
    </w:p>
  </w:footnote>
  <w:footnote w:id="6">
    <w:p w14:paraId="5F3252A6" w14:textId="4911D7E7" w:rsidR="000A49EF" w:rsidRPr="000A49EF" w:rsidRDefault="000A49EF">
      <w:pPr>
        <w:pStyle w:val="FootnoteText"/>
        <w:rPr>
          <w:lang w:val="en-GB"/>
        </w:rPr>
      </w:pPr>
      <w:r>
        <w:rPr>
          <w:rStyle w:val="FootnoteReference"/>
        </w:rPr>
        <w:footnoteRef/>
      </w:r>
      <w:r>
        <w:t xml:space="preserve"> </w:t>
      </w:r>
      <w:r>
        <w:rPr>
          <w:lang w:val="en-GB"/>
        </w:rPr>
        <w:tab/>
      </w:r>
      <w:r>
        <w:rPr>
          <w:i/>
          <w:lang w:val="en-GB"/>
        </w:rPr>
        <w:t xml:space="preserve">Tavira Securities, </w:t>
      </w:r>
      <w:r>
        <w:rPr>
          <w:lang w:val="en-GB"/>
        </w:rPr>
        <w:t>para. 53.</w:t>
      </w:r>
    </w:p>
  </w:footnote>
  <w:footnote w:id="7">
    <w:p w14:paraId="4CF1A667" w14:textId="4DDC3865" w:rsidR="00B62051" w:rsidRPr="00B62051" w:rsidRDefault="00B62051" w:rsidP="00B62051">
      <w:pPr>
        <w:pStyle w:val="FootnoteText"/>
        <w:ind w:left="709" w:hanging="709"/>
        <w:rPr>
          <w:lang w:val="en-GB"/>
        </w:rPr>
      </w:pPr>
      <w:r>
        <w:rPr>
          <w:rStyle w:val="FootnoteReference"/>
        </w:rPr>
        <w:footnoteRef/>
      </w:r>
      <w:r>
        <w:t xml:space="preserve"> </w:t>
      </w:r>
      <w:r>
        <w:rPr>
          <w:lang w:val="en-GB"/>
        </w:rPr>
        <w:tab/>
        <w:t>Draft Agreement on the withdrawal of the United Kingdom of Great Britain and Northern Ireland</w:t>
      </w:r>
      <w:r w:rsidR="00935129">
        <w:rPr>
          <w:lang w:val="en-GB"/>
        </w:rPr>
        <w:t xml:space="preserve"> </w:t>
      </w:r>
      <w:r>
        <w:rPr>
          <w:lang w:val="en-GB"/>
        </w:rPr>
        <w:t>from the European Union and the European Atomic Energy Community, 14 November 2018, Article 67.</w:t>
      </w:r>
    </w:p>
  </w:footnote>
  <w:footnote w:id="8">
    <w:p w14:paraId="01F68CE0" w14:textId="42A668A8" w:rsidR="00C53E14" w:rsidRPr="00C53E14" w:rsidRDefault="00C53E14">
      <w:pPr>
        <w:pStyle w:val="FootnoteText"/>
        <w:rPr>
          <w:lang w:val="en-GB"/>
        </w:rPr>
      </w:pPr>
      <w:r>
        <w:rPr>
          <w:rStyle w:val="FootnoteReference"/>
        </w:rPr>
        <w:footnoteRef/>
      </w:r>
      <w:r>
        <w:t xml:space="preserve"> </w:t>
      </w:r>
      <w:r>
        <w:rPr>
          <w:lang w:val="en-GB"/>
        </w:rPr>
        <w:tab/>
      </w:r>
      <w:r>
        <w:rPr>
          <w:i/>
          <w:lang w:val="en-GB"/>
        </w:rPr>
        <w:t>VTB Capital</w:t>
      </w:r>
      <w:r>
        <w:rPr>
          <w:lang w:val="en-GB"/>
        </w:rPr>
        <w:t>, para.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16CF7"/>
    <w:multiLevelType w:val="hybridMultilevel"/>
    <w:tmpl w:val="DADE2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12321"/>
    <w:multiLevelType w:val="hybridMultilevel"/>
    <w:tmpl w:val="F156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A4F66"/>
    <w:multiLevelType w:val="hybridMultilevel"/>
    <w:tmpl w:val="EA26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A6B4D"/>
    <w:multiLevelType w:val="hybridMultilevel"/>
    <w:tmpl w:val="6908D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77E3B"/>
    <w:multiLevelType w:val="hybridMultilevel"/>
    <w:tmpl w:val="3BAEE930"/>
    <w:lvl w:ilvl="0" w:tplc="9A565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4513A"/>
    <w:multiLevelType w:val="hybridMultilevel"/>
    <w:tmpl w:val="40F20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B9"/>
    <w:rsid w:val="00004517"/>
    <w:rsid w:val="0002016E"/>
    <w:rsid w:val="00046CF1"/>
    <w:rsid w:val="000564C6"/>
    <w:rsid w:val="000A49EF"/>
    <w:rsid w:val="000D2057"/>
    <w:rsid w:val="00134828"/>
    <w:rsid w:val="00134F2F"/>
    <w:rsid w:val="00155D8B"/>
    <w:rsid w:val="00172799"/>
    <w:rsid w:val="00183020"/>
    <w:rsid w:val="001B6D00"/>
    <w:rsid w:val="001C1AC7"/>
    <w:rsid w:val="00201751"/>
    <w:rsid w:val="00231235"/>
    <w:rsid w:val="002B436E"/>
    <w:rsid w:val="002C22DB"/>
    <w:rsid w:val="002D610A"/>
    <w:rsid w:val="002D75E2"/>
    <w:rsid w:val="00307F90"/>
    <w:rsid w:val="00353AE2"/>
    <w:rsid w:val="00357A9D"/>
    <w:rsid w:val="00357BBB"/>
    <w:rsid w:val="003668E5"/>
    <w:rsid w:val="00371EBB"/>
    <w:rsid w:val="0038681C"/>
    <w:rsid w:val="003D323D"/>
    <w:rsid w:val="00435C53"/>
    <w:rsid w:val="00466BB7"/>
    <w:rsid w:val="00477E35"/>
    <w:rsid w:val="00496B55"/>
    <w:rsid w:val="004A34CD"/>
    <w:rsid w:val="004D06BD"/>
    <w:rsid w:val="004D29A5"/>
    <w:rsid w:val="004E20F7"/>
    <w:rsid w:val="004E3835"/>
    <w:rsid w:val="00516A47"/>
    <w:rsid w:val="00522CEC"/>
    <w:rsid w:val="00556092"/>
    <w:rsid w:val="00560FE0"/>
    <w:rsid w:val="005838B4"/>
    <w:rsid w:val="005972ED"/>
    <w:rsid w:val="005C1837"/>
    <w:rsid w:val="005E5AED"/>
    <w:rsid w:val="005F1E91"/>
    <w:rsid w:val="00614CD8"/>
    <w:rsid w:val="0063359F"/>
    <w:rsid w:val="00636C8C"/>
    <w:rsid w:val="00666B54"/>
    <w:rsid w:val="006737F0"/>
    <w:rsid w:val="00677B4C"/>
    <w:rsid w:val="006812DB"/>
    <w:rsid w:val="006862C6"/>
    <w:rsid w:val="006A2AC1"/>
    <w:rsid w:val="006D0EEE"/>
    <w:rsid w:val="006E0791"/>
    <w:rsid w:val="00727267"/>
    <w:rsid w:val="00761AF3"/>
    <w:rsid w:val="00777C60"/>
    <w:rsid w:val="007D11FD"/>
    <w:rsid w:val="007E4AFB"/>
    <w:rsid w:val="00807277"/>
    <w:rsid w:val="00817EDE"/>
    <w:rsid w:val="008605DA"/>
    <w:rsid w:val="008A0CF1"/>
    <w:rsid w:val="008C0669"/>
    <w:rsid w:val="008D36B8"/>
    <w:rsid w:val="008D5B0E"/>
    <w:rsid w:val="008E4383"/>
    <w:rsid w:val="00935129"/>
    <w:rsid w:val="009532F4"/>
    <w:rsid w:val="00957D60"/>
    <w:rsid w:val="009715D7"/>
    <w:rsid w:val="00985A04"/>
    <w:rsid w:val="009A000F"/>
    <w:rsid w:val="009B76F9"/>
    <w:rsid w:val="009E4E4E"/>
    <w:rsid w:val="00A27E1B"/>
    <w:rsid w:val="00A32ADF"/>
    <w:rsid w:val="00A351A3"/>
    <w:rsid w:val="00A445B8"/>
    <w:rsid w:val="00A4793D"/>
    <w:rsid w:val="00A71365"/>
    <w:rsid w:val="00A7263F"/>
    <w:rsid w:val="00AA5BE7"/>
    <w:rsid w:val="00AF5092"/>
    <w:rsid w:val="00B62051"/>
    <w:rsid w:val="00B71CE0"/>
    <w:rsid w:val="00B972F5"/>
    <w:rsid w:val="00C33178"/>
    <w:rsid w:val="00C44E47"/>
    <w:rsid w:val="00C457F5"/>
    <w:rsid w:val="00C53E14"/>
    <w:rsid w:val="00C64ECC"/>
    <w:rsid w:val="00C655B6"/>
    <w:rsid w:val="00C728E3"/>
    <w:rsid w:val="00C9717C"/>
    <w:rsid w:val="00D349E7"/>
    <w:rsid w:val="00D65F3E"/>
    <w:rsid w:val="00D95C41"/>
    <w:rsid w:val="00DA388B"/>
    <w:rsid w:val="00DC7C7B"/>
    <w:rsid w:val="00DD0D1D"/>
    <w:rsid w:val="00DE3681"/>
    <w:rsid w:val="00E065AB"/>
    <w:rsid w:val="00E7048F"/>
    <w:rsid w:val="00E73BDB"/>
    <w:rsid w:val="00E85E5A"/>
    <w:rsid w:val="00EA1B68"/>
    <w:rsid w:val="00EB7D53"/>
    <w:rsid w:val="00EF4723"/>
    <w:rsid w:val="00F06DBB"/>
    <w:rsid w:val="00F2140A"/>
    <w:rsid w:val="00F61D9C"/>
    <w:rsid w:val="00F706B9"/>
    <w:rsid w:val="00F82983"/>
    <w:rsid w:val="00F97280"/>
    <w:rsid w:val="00FC5C5F"/>
    <w:rsid w:val="00FC63A0"/>
    <w:rsid w:val="00FD0F86"/>
    <w:rsid w:val="00FE6072"/>
    <w:rsid w:val="00FF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ABAF"/>
  <w15:docId w15:val="{AC72BC8F-A6D8-40FD-A7C3-B5B9DFE3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F7"/>
    <w:pPr>
      <w:ind w:left="720"/>
      <w:contextualSpacing/>
    </w:pPr>
  </w:style>
  <w:style w:type="paragraph" w:styleId="FootnoteText">
    <w:name w:val="footnote text"/>
    <w:basedOn w:val="Normal"/>
    <w:link w:val="FootnoteTextChar"/>
    <w:uiPriority w:val="99"/>
    <w:semiHidden/>
    <w:unhideWhenUsed/>
    <w:rsid w:val="00953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2F4"/>
    <w:rPr>
      <w:sz w:val="20"/>
      <w:szCs w:val="20"/>
    </w:rPr>
  </w:style>
  <w:style w:type="character" w:styleId="FootnoteReference">
    <w:name w:val="footnote reference"/>
    <w:basedOn w:val="DefaultParagraphFont"/>
    <w:uiPriority w:val="99"/>
    <w:semiHidden/>
    <w:unhideWhenUsed/>
    <w:rsid w:val="009532F4"/>
    <w:rPr>
      <w:vertAlign w:val="superscript"/>
    </w:rPr>
  </w:style>
  <w:style w:type="character" w:styleId="Hyperlink">
    <w:name w:val="Hyperlink"/>
    <w:basedOn w:val="DefaultParagraphFont"/>
    <w:uiPriority w:val="99"/>
    <w:unhideWhenUsed/>
    <w:rsid w:val="00E85E5A"/>
    <w:rPr>
      <w:color w:val="0563C1" w:themeColor="hyperlink"/>
      <w:u w:val="single"/>
    </w:rPr>
  </w:style>
  <w:style w:type="character" w:customStyle="1" w:styleId="UnresolvedMention">
    <w:name w:val="Unresolved Mention"/>
    <w:basedOn w:val="DefaultParagraphFont"/>
    <w:uiPriority w:val="99"/>
    <w:semiHidden/>
    <w:unhideWhenUsed/>
    <w:rsid w:val="00E85E5A"/>
    <w:rPr>
      <w:color w:val="605E5C"/>
      <w:shd w:val="clear" w:color="auto" w:fill="E1DFDD"/>
    </w:rPr>
  </w:style>
  <w:style w:type="paragraph" w:styleId="Footer">
    <w:name w:val="footer"/>
    <w:basedOn w:val="Normal"/>
    <w:link w:val="FooterChar"/>
    <w:uiPriority w:val="99"/>
    <w:unhideWhenUsed/>
    <w:rsid w:val="00FF2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B15"/>
  </w:style>
  <w:style w:type="character" w:styleId="PageNumber">
    <w:name w:val="page number"/>
    <w:basedOn w:val="DefaultParagraphFont"/>
    <w:uiPriority w:val="99"/>
    <w:semiHidden/>
    <w:unhideWhenUsed/>
    <w:rsid w:val="00FF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EAE5-168F-40F7-A0F5-433E11FB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Sahana Jayakumar</dc:creator>
  <cp:lastModifiedBy>Colin West</cp:lastModifiedBy>
  <cp:revision>3</cp:revision>
  <dcterms:created xsi:type="dcterms:W3CDTF">2019-01-30T10:41:00Z</dcterms:created>
  <dcterms:modified xsi:type="dcterms:W3CDTF">2019-01-30T10:44:00Z</dcterms:modified>
</cp:coreProperties>
</file>