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2D5" w:rsidRDefault="00611FB1" w:rsidP="00611FB1">
      <w:pPr>
        <w:spacing w:before="100" w:beforeAutospacing="1" w:after="100" w:afterAutospacing="1"/>
        <w:jc w:val="center"/>
        <w:outlineLvl w:val="1"/>
        <w:rPr>
          <w:rFonts w:eastAsia="Times New Roman" w:cs="Times New Roman"/>
          <w:b/>
          <w:bCs/>
          <w:color w:val="000000"/>
          <w:lang w:eastAsia="en-GB"/>
        </w:rPr>
      </w:pPr>
      <w:r w:rsidRPr="00611FB1">
        <w:rPr>
          <w:rFonts w:eastAsia="Times New Roman" w:cs="Times New Roman"/>
          <w:b/>
          <w:bCs/>
          <w:color w:val="000000"/>
          <w:lang w:eastAsia="en-GB"/>
        </w:rPr>
        <w:t>Access to justice in the 21</w:t>
      </w:r>
      <w:r w:rsidRPr="000A12F2">
        <w:rPr>
          <w:rFonts w:eastAsia="Times New Roman" w:cs="Times New Roman"/>
          <w:b/>
          <w:bCs/>
          <w:color w:val="000000"/>
          <w:vertAlign w:val="superscript"/>
          <w:lang w:eastAsia="en-GB"/>
        </w:rPr>
        <w:t>st</w:t>
      </w:r>
      <w:r w:rsidR="00F5729E">
        <w:rPr>
          <w:rFonts w:eastAsia="Times New Roman" w:cs="Times New Roman"/>
          <w:b/>
          <w:bCs/>
          <w:color w:val="000000"/>
          <w:lang w:eastAsia="en-GB"/>
        </w:rPr>
        <w:t xml:space="preserve"> century –</w:t>
      </w:r>
      <w:r w:rsidRPr="00611FB1">
        <w:rPr>
          <w:rFonts w:eastAsia="Times New Roman" w:cs="Times New Roman"/>
          <w:b/>
          <w:bCs/>
          <w:color w:val="000000"/>
          <w:lang w:eastAsia="en-GB"/>
        </w:rPr>
        <w:t xml:space="preserve"> how can it be maximised?</w:t>
      </w:r>
      <w:bookmarkStart w:id="0" w:name="_GoBack"/>
      <w:bookmarkEnd w:id="0"/>
    </w:p>
    <w:p w:rsidR="00994D66" w:rsidRDefault="00C553E1" w:rsidP="003F7ACB">
      <w:pPr>
        <w:spacing w:before="100" w:beforeAutospacing="1" w:after="100" w:afterAutospacing="1"/>
        <w:outlineLvl w:val="1"/>
        <w:rPr>
          <w:rFonts w:eastAsia="Times New Roman" w:cs="Times New Roman"/>
          <w:color w:val="000000"/>
          <w:lang w:eastAsia="en-GB"/>
        </w:rPr>
      </w:pPr>
      <w:r>
        <w:rPr>
          <w:rFonts w:eastAsia="Times New Roman" w:cs="Times New Roman"/>
          <w:color w:val="000000"/>
          <w:lang w:eastAsia="en-GB"/>
        </w:rPr>
        <w:t xml:space="preserve">Part of only three clauses that remain on the statute book eight centuries later, </w:t>
      </w:r>
      <w:r w:rsidR="001C69F4">
        <w:rPr>
          <w:rFonts w:eastAsia="Times New Roman" w:cs="Times New Roman"/>
          <w:color w:val="000000"/>
          <w:lang w:eastAsia="en-GB"/>
        </w:rPr>
        <w:t>Magna Carta</w:t>
      </w:r>
      <w:r w:rsidR="00F679A2">
        <w:rPr>
          <w:rFonts w:eastAsia="Times New Roman" w:cs="Times New Roman"/>
          <w:color w:val="000000"/>
          <w:lang w:eastAsia="en-GB"/>
        </w:rPr>
        <w:t xml:space="preserve">’s promise </w:t>
      </w:r>
      <w:r w:rsidR="00A02625">
        <w:rPr>
          <w:rFonts w:eastAsia="Times New Roman" w:cs="Times New Roman"/>
          <w:color w:val="000000"/>
          <w:lang w:eastAsia="en-GB"/>
        </w:rPr>
        <w:t>that “</w:t>
      </w:r>
      <w:r w:rsidR="00A02625" w:rsidRPr="00E93038">
        <w:rPr>
          <w:rFonts w:eastAsia="Times New Roman" w:cs="Times New Roman"/>
          <w:color w:val="000000"/>
          <w:lang w:eastAsia="en-GB"/>
        </w:rPr>
        <w:t>w</w:t>
      </w:r>
      <w:r w:rsidR="00F679A2" w:rsidRPr="00E93038">
        <w:rPr>
          <w:rFonts w:eastAsia="Times New Roman" w:cs="Times New Roman"/>
          <w:color w:val="000000"/>
          <w:lang w:eastAsia="en-GB"/>
        </w:rPr>
        <w:t>e will sell to no man, we will not deny or defer to any man either Justice or Right</w:t>
      </w:r>
      <w:r w:rsidR="00A02625">
        <w:rPr>
          <w:rFonts w:eastAsia="Times New Roman" w:cs="Times New Roman"/>
          <w:color w:val="000000"/>
          <w:lang w:eastAsia="en-GB"/>
        </w:rPr>
        <w:t>”</w:t>
      </w:r>
      <w:r w:rsidR="00B65EB2">
        <w:rPr>
          <w:rFonts w:eastAsia="Times New Roman" w:cs="Times New Roman"/>
          <w:color w:val="000000"/>
          <w:lang w:eastAsia="en-GB"/>
        </w:rPr>
        <w:t xml:space="preserve"> remains unfulfilled. T</w:t>
      </w:r>
      <w:r w:rsidR="00F679A2">
        <w:rPr>
          <w:rFonts w:eastAsia="Times New Roman" w:cs="Times New Roman"/>
          <w:color w:val="000000"/>
          <w:lang w:eastAsia="en-GB"/>
        </w:rPr>
        <w:t xml:space="preserve">he </w:t>
      </w:r>
      <w:r w:rsidR="00A02625">
        <w:rPr>
          <w:rFonts w:eastAsia="Times New Roman" w:cs="Times New Roman"/>
          <w:color w:val="000000"/>
          <w:lang w:eastAsia="en-GB"/>
        </w:rPr>
        <w:t xml:space="preserve">sad </w:t>
      </w:r>
      <w:r w:rsidR="00F679A2">
        <w:rPr>
          <w:rFonts w:eastAsia="Times New Roman" w:cs="Times New Roman"/>
          <w:color w:val="000000"/>
          <w:lang w:eastAsia="en-GB"/>
        </w:rPr>
        <w:t xml:space="preserve">reality of modern day Britain is that </w:t>
      </w:r>
      <w:r w:rsidR="00A02625">
        <w:rPr>
          <w:rFonts w:eastAsia="Times New Roman" w:cs="Times New Roman"/>
          <w:color w:val="000000"/>
          <w:lang w:eastAsia="en-GB"/>
        </w:rPr>
        <w:t xml:space="preserve">spiralling costs </w:t>
      </w:r>
      <w:r w:rsidR="009D6B78">
        <w:rPr>
          <w:rFonts w:eastAsia="Times New Roman" w:cs="Times New Roman"/>
          <w:color w:val="000000"/>
          <w:lang w:eastAsia="en-GB"/>
        </w:rPr>
        <w:t>coupled with</w:t>
      </w:r>
      <w:r w:rsidR="00A02625">
        <w:rPr>
          <w:rFonts w:eastAsia="Times New Roman" w:cs="Times New Roman"/>
          <w:color w:val="000000"/>
          <w:lang w:eastAsia="en-GB"/>
        </w:rPr>
        <w:t xml:space="preserve"> crippling cuts to legal aid have rendered </w:t>
      </w:r>
      <w:r w:rsidR="009D6B78">
        <w:rPr>
          <w:rFonts w:eastAsia="Times New Roman" w:cs="Times New Roman"/>
          <w:color w:val="000000"/>
          <w:lang w:eastAsia="en-GB"/>
        </w:rPr>
        <w:t xml:space="preserve">the legal system inaccessible for the vast majority of people. </w:t>
      </w:r>
      <w:r w:rsidR="00B65EB2">
        <w:rPr>
          <w:rFonts w:eastAsia="Times New Roman" w:cs="Times New Roman"/>
          <w:color w:val="000000"/>
          <w:lang w:eastAsia="en-GB"/>
        </w:rPr>
        <w:t xml:space="preserve">Regrettably, courts are all too often portrayed in public discourse as mere service providers for individual litigants </w:t>
      </w:r>
      <w:r w:rsidR="00E93038">
        <w:rPr>
          <w:rFonts w:eastAsia="Times New Roman" w:cs="Times New Roman"/>
          <w:color w:val="000000"/>
          <w:lang w:eastAsia="en-GB"/>
        </w:rPr>
        <w:t>pursuing</w:t>
      </w:r>
      <w:r w:rsidR="00B65EB2">
        <w:rPr>
          <w:rFonts w:eastAsia="Times New Roman" w:cs="Times New Roman"/>
          <w:color w:val="000000"/>
          <w:lang w:eastAsia="en-GB"/>
        </w:rPr>
        <w:t xml:space="preserve"> </w:t>
      </w:r>
      <w:r w:rsidR="00E93038">
        <w:rPr>
          <w:rFonts w:eastAsia="Times New Roman" w:cs="Times New Roman"/>
          <w:color w:val="000000"/>
          <w:lang w:eastAsia="en-GB"/>
        </w:rPr>
        <w:t xml:space="preserve">their </w:t>
      </w:r>
      <w:r w:rsidR="00B65EB2">
        <w:rPr>
          <w:rFonts w:eastAsia="Times New Roman" w:cs="Times New Roman"/>
          <w:color w:val="000000"/>
          <w:lang w:eastAsia="en-GB"/>
        </w:rPr>
        <w:t xml:space="preserve">private interests. In truth, it is the public at large who reaps the rewards: much like herd immunity in the health care context, an accessible means of right enforcement benefits those who need never set foot in a court room. When flouting the law becomes cheaper than following the rules, society as a whole loses out. </w:t>
      </w:r>
    </w:p>
    <w:p w:rsidR="00994D66" w:rsidRDefault="00B65EB2" w:rsidP="003F7ACB">
      <w:pPr>
        <w:spacing w:before="100" w:beforeAutospacing="1" w:after="100" w:afterAutospacing="1"/>
        <w:outlineLvl w:val="1"/>
        <w:rPr>
          <w:rFonts w:eastAsia="Times New Roman" w:cs="Times New Roman"/>
          <w:color w:val="000000"/>
          <w:lang w:eastAsia="en-GB"/>
        </w:rPr>
      </w:pPr>
      <w:r>
        <w:rPr>
          <w:rFonts w:eastAsia="Times New Roman" w:cs="Times New Roman"/>
          <w:color w:val="000000"/>
          <w:lang w:eastAsia="en-GB"/>
        </w:rPr>
        <w:t xml:space="preserve">Relatedly, Frederick Wilmot-Smith, writing in the </w:t>
      </w:r>
      <w:r>
        <w:rPr>
          <w:rFonts w:eastAsia="Times New Roman" w:cs="Times New Roman"/>
          <w:i/>
          <w:color w:val="000000"/>
          <w:lang w:eastAsia="en-GB"/>
        </w:rPr>
        <w:t>London Review of Books</w:t>
      </w:r>
      <w:r>
        <w:rPr>
          <w:rFonts w:eastAsia="Times New Roman" w:cs="Times New Roman"/>
          <w:color w:val="000000"/>
          <w:lang w:eastAsia="en-GB"/>
        </w:rPr>
        <w:t>, makes the point</w:t>
      </w:r>
      <w:r>
        <w:rPr>
          <w:rFonts w:eastAsia="Times New Roman" w:cs="Times New Roman"/>
          <w:i/>
          <w:color w:val="000000"/>
          <w:lang w:eastAsia="en-GB"/>
        </w:rPr>
        <w:t xml:space="preserve"> </w:t>
      </w:r>
      <w:r>
        <w:rPr>
          <w:rFonts w:eastAsia="Times New Roman" w:cs="Times New Roman"/>
          <w:color w:val="000000"/>
          <w:lang w:eastAsia="en-GB"/>
        </w:rPr>
        <w:t xml:space="preserve">that it is the best-off who have the most to lose; in the absence of an effective legal system to protect their property rights, they would have to spend the most to keep hold of their assets. </w:t>
      </w:r>
      <w:r w:rsidR="00876CC0">
        <w:rPr>
          <w:rFonts w:eastAsia="Times New Roman" w:cs="Times New Roman"/>
          <w:color w:val="000000"/>
          <w:lang w:eastAsia="en-GB"/>
        </w:rPr>
        <w:t xml:space="preserve">The </w:t>
      </w:r>
      <w:r w:rsidR="00F755F4">
        <w:rPr>
          <w:rFonts w:eastAsia="Times New Roman" w:cs="Times New Roman"/>
          <w:color w:val="000000"/>
          <w:lang w:eastAsia="en-GB"/>
        </w:rPr>
        <w:t xml:space="preserve">Bach Commission’s final report, </w:t>
      </w:r>
      <w:r w:rsidR="00F755F4">
        <w:rPr>
          <w:rFonts w:eastAsia="Times New Roman" w:cs="Times New Roman"/>
          <w:i/>
          <w:color w:val="000000"/>
          <w:lang w:eastAsia="en-GB"/>
        </w:rPr>
        <w:t>The Right to Justice</w:t>
      </w:r>
      <w:r w:rsidR="00F755F4">
        <w:rPr>
          <w:rFonts w:eastAsia="Times New Roman" w:cs="Times New Roman"/>
          <w:color w:val="000000"/>
          <w:lang w:eastAsia="en-GB"/>
        </w:rPr>
        <w:t>, published</w:t>
      </w:r>
      <w:r w:rsidR="00F755F4">
        <w:rPr>
          <w:rFonts w:eastAsia="Times New Roman" w:cs="Times New Roman"/>
          <w:i/>
          <w:color w:val="000000"/>
          <w:lang w:eastAsia="en-GB"/>
        </w:rPr>
        <w:t xml:space="preserve"> </w:t>
      </w:r>
      <w:r w:rsidR="00F755F4">
        <w:rPr>
          <w:rFonts w:eastAsia="Times New Roman" w:cs="Times New Roman"/>
          <w:color w:val="000000"/>
          <w:lang w:eastAsia="en-GB"/>
        </w:rPr>
        <w:t>in Septemb</w:t>
      </w:r>
      <w:r w:rsidR="003F7ACB">
        <w:rPr>
          <w:rFonts w:eastAsia="Times New Roman" w:cs="Times New Roman"/>
          <w:color w:val="000000"/>
          <w:lang w:eastAsia="en-GB"/>
        </w:rPr>
        <w:t>er</w:t>
      </w:r>
      <w:r w:rsidR="00994D66">
        <w:rPr>
          <w:rFonts w:eastAsia="Times New Roman" w:cs="Times New Roman"/>
          <w:color w:val="000000"/>
          <w:lang w:eastAsia="en-GB"/>
        </w:rPr>
        <w:t>,</w:t>
      </w:r>
      <w:r w:rsidR="003F7ACB">
        <w:rPr>
          <w:rFonts w:eastAsia="Times New Roman" w:cs="Times New Roman"/>
          <w:color w:val="000000"/>
          <w:lang w:eastAsia="en-GB"/>
        </w:rPr>
        <w:t xml:space="preserve"> which built</w:t>
      </w:r>
      <w:r w:rsidR="00F755F4">
        <w:rPr>
          <w:rFonts w:eastAsia="Times New Roman" w:cs="Times New Roman"/>
          <w:color w:val="000000"/>
          <w:lang w:eastAsia="en-GB"/>
        </w:rPr>
        <w:t xml:space="preserve"> on an interim report released last year and </w:t>
      </w:r>
      <w:r w:rsidR="003F7ACB">
        <w:rPr>
          <w:rFonts w:eastAsia="Times New Roman" w:cs="Times New Roman"/>
          <w:color w:val="000000"/>
          <w:lang w:eastAsia="en-GB"/>
        </w:rPr>
        <w:t>has seven Appendices</w:t>
      </w:r>
      <w:r w:rsidR="00876CC0">
        <w:rPr>
          <w:rFonts w:eastAsia="Times New Roman" w:cs="Times New Roman"/>
          <w:color w:val="000000"/>
          <w:lang w:eastAsia="en-GB"/>
        </w:rPr>
        <w:t>, is the most recent high-profile contribution to this field</w:t>
      </w:r>
      <w:r w:rsidR="003F7ACB">
        <w:rPr>
          <w:rFonts w:eastAsia="Times New Roman" w:cs="Times New Roman"/>
          <w:color w:val="000000"/>
          <w:lang w:eastAsia="en-GB"/>
        </w:rPr>
        <w:t xml:space="preserve">. Its proposals include enshrining a </w:t>
      </w:r>
      <w:r w:rsidR="003F7ACB" w:rsidRPr="00994D66">
        <w:rPr>
          <w:rFonts w:eastAsia="Times New Roman" w:cs="Times New Roman"/>
          <w:color w:val="000000"/>
          <w:lang w:eastAsia="en-GB"/>
        </w:rPr>
        <w:t xml:space="preserve">right to receive reasonable legal assistance, without costs </w:t>
      </w:r>
      <w:r w:rsidR="00876CC0">
        <w:rPr>
          <w:rFonts w:eastAsia="Times New Roman" w:cs="Times New Roman"/>
          <w:color w:val="000000"/>
          <w:lang w:eastAsia="en-GB"/>
        </w:rPr>
        <w:t>one</w:t>
      </w:r>
      <w:r w:rsidR="003F7ACB" w:rsidRPr="00994D66">
        <w:rPr>
          <w:rFonts w:eastAsia="Times New Roman" w:cs="Times New Roman"/>
          <w:color w:val="000000"/>
          <w:lang w:eastAsia="en-GB"/>
        </w:rPr>
        <w:t xml:space="preserve"> cannot afford</w:t>
      </w:r>
      <w:r w:rsidR="003F7ACB">
        <w:rPr>
          <w:rFonts w:eastAsia="Times New Roman" w:cs="Times New Roman"/>
          <w:color w:val="000000"/>
          <w:lang w:eastAsia="en-GB"/>
        </w:rPr>
        <w:t xml:space="preserve"> in statute; the creation of a Justice Commission to adv</w:t>
      </w:r>
      <w:r w:rsidR="00876CC0">
        <w:rPr>
          <w:rFonts w:eastAsia="Times New Roman" w:cs="Times New Roman"/>
          <w:color w:val="000000"/>
          <w:lang w:eastAsia="en-GB"/>
        </w:rPr>
        <w:t>ise on, monitor and enforce this newly created “</w:t>
      </w:r>
      <w:r w:rsidR="003F7ACB">
        <w:rPr>
          <w:rFonts w:eastAsia="Times New Roman" w:cs="Times New Roman"/>
          <w:color w:val="000000"/>
          <w:lang w:eastAsia="en-GB"/>
        </w:rPr>
        <w:t>right to justice</w:t>
      </w:r>
      <w:r w:rsidR="00876CC0">
        <w:rPr>
          <w:rFonts w:eastAsia="Times New Roman" w:cs="Times New Roman"/>
          <w:color w:val="000000"/>
          <w:lang w:eastAsia="en-GB"/>
        </w:rPr>
        <w:t>”</w:t>
      </w:r>
      <w:r w:rsidR="003F7ACB">
        <w:rPr>
          <w:rFonts w:eastAsia="Times New Roman" w:cs="Times New Roman"/>
          <w:color w:val="000000"/>
          <w:lang w:eastAsia="en-GB"/>
        </w:rPr>
        <w:t xml:space="preserve">; and a swath of policy changes from changing eligibility requirements for legal aid to reforming legal aid contributions. </w:t>
      </w:r>
      <w:r w:rsidR="00994D66">
        <w:rPr>
          <w:rFonts w:eastAsia="Times New Roman" w:cs="Times New Roman"/>
          <w:color w:val="000000"/>
          <w:lang w:eastAsia="en-GB"/>
        </w:rPr>
        <w:t>Unfortunately, the history of legal aid has been a history of cuts, and it is unlikely that the political will can be found to reverse the tide.</w:t>
      </w:r>
    </w:p>
    <w:p w:rsidR="006E0BCE" w:rsidRDefault="00994D66" w:rsidP="003F7ACB">
      <w:pPr>
        <w:spacing w:before="100" w:beforeAutospacing="1" w:after="100" w:afterAutospacing="1"/>
        <w:outlineLvl w:val="1"/>
      </w:pPr>
      <w:r>
        <w:rPr>
          <w:rFonts w:eastAsia="Times New Roman" w:cs="Times New Roman"/>
          <w:color w:val="000000"/>
          <w:lang w:eastAsia="en-GB"/>
        </w:rPr>
        <w:t>Thus, what follows aims to avoid – as far as possible – the pitfalls of politics. The</w:t>
      </w:r>
      <w:r w:rsidR="003F7ACB">
        <w:rPr>
          <w:rFonts w:eastAsia="Times New Roman" w:cs="Times New Roman"/>
          <w:color w:val="000000"/>
          <w:lang w:eastAsia="en-GB"/>
        </w:rPr>
        <w:t xml:space="preserve"> focus is rather different</w:t>
      </w:r>
      <w:r>
        <w:rPr>
          <w:rFonts w:eastAsia="Times New Roman" w:cs="Times New Roman"/>
          <w:color w:val="000000"/>
          <w:lang w:eastAsia="en-GB"/>
        </w:rPr>
        <w:t xml:space="preserve">: two changes – one procedural, the other technological – that can help maximise access to justice in </w:t>
      </w:r>
      <w:r w:rsidR="00876CC0">
        <w:rPr>
          <w:rFonts w:eastAsia="Times New Roman" w:cs="Times New Roman"/>
          <w:color w:val="000000"/>
          <w:lang w:eastAsia="en-GB"/>
        </w:rPr>
        <w:t>the coming</w:t>
      </w:r>
      <w:r w:rsidR="000048B1">
        <w:rPr>
          <w:rFonts w:eastAsia="Times New Roman" w:cs="Times New Roman"/>
          <w:color w:val="000000"/>
          <w:lang w:eastAsia="en-GB"/>
        </w:rPr>
        <w:t xml:space="preserve"> </w:t>
      </w:r>
      <w:r>
        <w:rPr>
          <w:rFonts w:eastAsia="Times New Roman" w:cs="Times New Roman"/>
          <w:color w:val="000000"/>
          <w:lang w:eastAsia="en-GB"/>
        </w:rPr>
        <w:t xml:space="preserve">century. </w:t>
      </w:r>
      <w:r w:rsidR="000048B1">
        <w:rPr>
          <w:rFonts w:eastAsia="Times New Roman" w:cs="Times New Roman"/>
          <w:color w:val="000000"/>
          <w:lang w:eastAsia="en-GB"/>
        </w:rPr>
        <w:t>C</w:t>
      </w:r>
      <w:r w:rsidR="006E0BCE">
        <w:rPr>
          <w:rFonts w:eastAsia="Times New Roman" w:cs="Times New Roman"/>
          <w:color w:val="000000"/>
          <w:lang w:eastAsia="en-GB"/>
        </w:rPr>
        <w:t>ollective redress mechanisms</w:t>
      </w:r>
      <w:r>
        <w:rPr>
          <w:rFonts w:eastAsia="Times New Roman" w:cs="Times New Roman"/>
          <w:color w:val="000000"/>
          <w:lang w:eastAsia="en-GB"/>
        </w:rPr>
        <w:t xml:space="preserve"> </w:t>
      </w:r>
      <w:r w:rsidR="000048B1">
        <w:t>bundle</w:t>
      </w:r>
      <w:r w:rsidR="006E0BCE">
        <w:t xml:space="preserve"> together</w:t>
      </w:r>
      <w:r w:rsidR="000048B1">
        <w:t xml:space="preserve"> otherwise worthless claims – or, more specifically, claims worth less than the expense of litigating them so as</w:t>
      </w:r>
      <w:r w:rsidR="006E0BCE">
        <w:t xml:space="preserve"> to enable the vindication of those rights collectively</w:t>
      </w:r>
      <w:r w:rsidR="000048B1">
        <w:t>, and s</w:t>
      </w:r>
      <w:r w:rsidR="006E0BCE">
        <w:t xml:space="preserve">mart contracts have the potential to </w:t>
      </w:r>
      <w:r w:rsidR="000048B1">
        <w:t>radically</w:t>
      </w:r>
      <w:r w:rsidR="006E0BCE">
        <w:t xml:space="preserve"> alter what is commonly seen as the legal process. </w:t>
      </w:r>
      <w:r w:rsidR="000048B1">
        <w:t>Both of these developments illustrate how access to justice in the 21</w:t>
      </w:r>
      <w:r w:rsidR="000048B1" w:rsidRPr="000048B1">
        <w:rPr>
          <w:vertAlign w:val="superscript"/>
        </w:rPr>
        <w:t>st</w:t>
      </w:r>
      <w:r w:rsidR="000048B1">
        <w:t xml:space="preserve"> century may be </w:t>
      </w:r>
      <w:r w:rsidR="00876CC0">
        <w:t>less about</w:t>
      </w:r>
      <w:r w:rsidR="000048B1">
        <w:t xml:space="preserve"> the traditional adversarial court process between individual litigants </w:t>
      </w:r>
      <w:r w:rsidR="00876CC0">
        <w:t xml:space="preserve">and more about </w:t>
      </w:r>
      <w:r w:rsidR="000048B1">
        <w:t>finding innovative solutions that achieve the same ends by different means.</w:t>
      </w:r>
    </w:p>
    <w:p w:rsidR="000048B1" w:rsidRDefault="000048B1" w:rsidP="003F7ACB">
      <w:pPr>
        <w:spacing w:before="100" w:beforeAutospacing="1" w:after="100" w:afterAutospacing="1"/>
        <w:outlineLvl w:val="1"/>
      </w:pPr>
    </w:p>
    <w:p w:rsidR="006E0BCE" w:rsidRPr="006E0BCE" w:rsidRDefault="006E0BCE" w:rsidP="002A7CC3">
      <w:pPr>
        <w:pStyle w:val="Heading1"/>
      </w:pPr>
      <w:r w:rsidRPr="006E0BCE">
        <w:t xml:space="preserve">Collective Redress: </w:t>
      </w:r>
      <w:r>
        <w:t>when</w:t>
      </w:r>
      <w:r w:rsidRPr="006E0BCE">
        <w:t xml:space="preserve"> the whole is greater than the sum of its parts</w:t>
      </w:r>
    </w:p>
    <w:p w:rsidR="00B431BD" w:rsidRDefault="006E0BCE" w:rsidP="002A7CC3">
      <w:pPr>
        <w:outlineLvl w:val="1"/>
      </w:pPr>
      <w:r w:rsidRPr="00A32786">
        <w:t xml:space="preserve">Under modern economic conditions, illegal conduct, such as anti-competitive </w:t>
      </w:r>
      <w:r w:rsidR="00B431BD" w:rsidRPr="00A32786">
        <w:t>behaviour</w:t>
      </w:r>
      <w:r w:rsidRPr="00A32786">
        <w:t xml:space="preserve"> that distorts the market, may cause identical and indiscriminate harm to a great number of natural or legal persons. Yet, the individual pursuit of claims is </w:t>
      </w:r>
      <w:r w:rsidR="00B431BD">
        <w:t>frequently</w:t>
      </w:r>
      <w:r w:rsidRPr="00A32786">
        <w:t xml:space="preserve"> </w:t>
      </w:r>
      <w:r w:rsidR="002A7CC3">
        <w:t>unfeasible. T</w:t>
      </w:r>
      <w:r w:rsidRPr="00A32786">
        <w:t>he damages are simply too small to justify the expense of litigation</w:t>
      </w:r>
      <w:r w:rsidR="002A7CC3">
        <w:t xml:space="preserve"> so that p</w:t>
      </w:r>
      <w:r w:rsidR="002A7CC3" w:rsidRPr="00A32786">
        <w:t xml:space="preserve">rivate enforcement is </w:t>
      </w:r>
      <w:r w:rsidR="002A7CC3">
        <w:t>rendered wholly illusory even</w:t>
      </w:r>
      <w:r>
        <w:t xml:space="preserve"> though</w:t>
      </w:r>
      <w:r w:rsidRPr="00A32786">
        <w:t xml:space="preserve"> thousands, hundreds of thousands or even millions of </w:t>
      </w:r>
      <w:r>
        <w:t xml:space="preserve">individuals have been </w:t>
      </w:r>
      <w:r w:rsidRPr="00A32786">
        <w:t>harmed.</w:t>
      </w:r>
      <w:r>
        <w:t xml:space="preserve"> Collective redress mechanisms solve this issue by “</w:t>
      </w:r>
      <w:r w:rsidRPr="006E0BCE">
        <w:t>aggregating the relatively paltry potential recoveries into something worth someone’s (usually an attorney’s) labo</w:t>
      </w:r>
      <w:r>
        <w:t>[u]r”.</w:t>
      </w:r>
      <w:r w:rsidRPr="00A32786">
        <w:rPr>
          <w:rStyle w:val="FootnoteReference"/>
        </w:rPr>
        <w:footnoteReference w:id="1"/>
      </w:r>
      <w:r w:rsidR="00B431BD">
        <w:t xml:space="preserve"> </w:t>
      </w:r>
      <w:r w:rsidR="00B431BD" w:rsidRPr="00A32786">
        <w:t>The resulting lawsuit is gr</w:t>
      </w:r>
      <w:r w:rsidR="00B431BD">
        <w:t>eater than the sum of its parts as procedural tools are used to achieve a</w:t>
      </w:r>
      <w:r w:rsidR="00B431BD" w:rsidRPr="00A32786">
        <w:t xml:space="preserve"> metamorphosis from practically unenforceable</w:t>
      </w:r>
      <w:r w:rsidR="00B431BD">
        <w:t>,</w:t>
      </w:r>
      <w:r w:rsidR="00B431BD" w:rsidRPr="00A32786">
        <w:t xml:space="preserve"> albeit meritorious</w:t>
      </w:r>
      <w:r w:rsidR="00B431BD">
        <w:t>,</w:t>
      </w:r>
      <w:r w:rsidR="00B431BD" w:rsidRPr="00A32786">
        <w:t xml:space="preserve"> </w:t>
      </w:r>
      <w:r w:rsidR="00B431BD">
        <w:rPr>
          <w:i/>
        </w:rPr>
        <w:t xml:space="preserve">individual </w:t>
      </w:r>
      <w:r w:rsidR="00B431BD" w:rsidRPr="00876CC0">
        <w:rPr>
          <w:i/>
        </w:rPr>
        <w:t>claims</w:t>
      </w:r>
      <w:r w:rsidR="00B431BD" w:rsidRPr="00A32786">
        <w:t xml:space="preserve"> into an enforceable </w:t>
      </w:r>
      <w:r w:rsidR="00B431BD">
        <w:rPr>
          <w:i/>
        </w:rPr>
        <w:t xml:space="preserve">collective </w:t>
      </w:r>
      <w:r w:rsidR="00B431BD" w:rsidRPr="00876CC0">
        <w:rPr>
          <w:i/>
        </w:rPr>
        <w:t>action</w:t>
      </w:r>
      <w:r w:rsidR="00B431BD">
        <w:t>.</w:t>
      </w:r>
    </w:p>
    <w:p w:rsidR="00B431BD" w:rsidRDefault="00B431BD" w:rsidP="002A7CC3">
      <w:pPr>
        <w:outlineLvl w:val="1"/>
      </w:pPr>
      <w:r w:rsidRPr="00B431BD">
        <w:t xml:space="preserve">Whilst class actions have been a staple of civil procedure law in the United States for decades, they are a comparatively recent phenomenon on the other side of the Atlantic. The United Kingdom’s Consumer Rights Act 2015 introduced a new mechanism for the collective enforcement of rights </w:t>
      </w:r>
      <w:r>
        <w:t xml:space="preserve">in the area of competition law that </w:t>
      </w:r>
      <w:r w:rsidRPr="00B431BD">
        <w:t xml:space="preserve">came into force on </w:t>
      </w:r>
      <w:r>
        <w:t xml:space="preserve">1 October </w:t>
      </w:r>
      <w:r w:rsidRPr="00B431BD">
        <w:t>2015.</w:t>
      </w:r>
      <w:r>
        <w:t xml:space="preserve"> </w:t>
      </w:r>
    </w:p>
    <w:p w:rsidR="00B913B0" w:rsidRDefault="00B431BD" w:rsidP="002A7CC3">
      <w:pPr>
        <w:outlineLvl w:val="1"/>
      </w:pPr>
      <w:r>
        <w:t xml:space="preserve">Because US-style class actions are viewed with suspicion on this side of the Atlantic, is it important to engage with how the system operates so as to appreciate the important differences. </w:t>
      </w:r>
      <w:r w:rsidRPr="00A32786">
        <w:t xml:space="preserve">Four features of the US regime are </w:t>
      </w:r>
      <w:r>
        <w:t>commonly cited</w:t>
      </w:r>
      <w:r w:rsidRPr="00A32786">
        <w:t xml:space="preserve"> as having made it both </w:t>
      </w:r>
      <w:r w:rsidR="00876CC0">
        <w:t>very</w:t>
      </w:r>
      <w:r w:rsidRPr="00A32786">
        <w:t xml:space="preserve"> powerful and</w:t>
      </w:r>
      <w:r>
        <w:t xml:space="preserve"> </w:t>
      </w:r>
      <w:r w:rsidR="00876CC0">
        <w:t>vulnerable</w:t>
      </w:r>
      <w:r>
        <w:t xml:space="preserve"> to abuse as</w:t>
      </w:r>
      <w:r w:rsidRPr="00A32786">
        <w:t xml:space="preserve"> defendants </w:t>
      </w:r>
      <w:r>
        <w:t>can</w:t>
      </w:r>
      <w:r w:rsidRPr="00A32786">
        <w:t xml:space="preserve"> be forced into settlements of unmeritorious claims: contingency fees, </w:t>
      </w:r>
      <w:r w:rsidR="00876CC0">
        <w:t xml:space="preserve">extensive </w:t>
      </w:r>
      <w:r w:rsidRPr="00A32786">
        <w:t>discovery rules, the possibility of seeking punitive damages</w:t>
      </w:r>
      <w:r>
        <w:t>,</w:t>
      </w:r>
      <w:r w:rsidRPr="00A32786">
        <w:t xml:space="preserve"> and the opt-out mechanism.</w:t>
      </w:r>
      <w:r w:rsidR="00B913B0">
        <w:t xml:space="preserve"> </w:t>
      </w:r>
    </w:p>
    <w:p w:rsidR="00B431BD" w:rsidRDefault="00B913B0" w:rsidP="002A7CC3">
      <w:pPr>
        <w:outlineLvl w:val="1"/>
      </w:pPr>
      <w:r>
        <w:t xml:space="preserve">It is perhaps worth emphasising that there are some good policy justifications for </w:t>
      </w:r>
      <w:r w:rsidR="00876CC0">
        <w:t>the</w:t>
      </w:r>
      <w:r>
        <w:t xml:space="preserve">se rules. </w:t>
      </w:r>
      <w:r w:rsidRPr="00B913B0">
        <w:t>Contingency fees allow claims to be brought on behalf of a class that could not afford to litigate otherwise. Admittedly, this means that the lawyers will always recover vastly more than any member of the class. This is natural because no</w:t>
      </w:r>
      <w:r>
        <w:t xml:space="preserve"> individual</w:t>
      </w:r>
      <w:r w:rsidRPr="00B913B0">
        <w:t xml:space="preserve"> member of the class would have such a </w:t>
      </w:r>
      <w:r>
        <w:t>large stake in the litigation: i</w:t>
      </w:r>
      <w:r w:rsidRPr="00B913B0">
        <w:t>f the class has 100,000 members</w:t>
      </w:r>
      <w:r>
        <w:t xml:space="preserve"> </w:t>
      </w:r>
      <w:r w:rsidR="00876CC0">
        <w:t xml:space="preserve">all of </w:t>
      </w:r>
      <w:r>
        <w:t>who</w:t>
      </w:r>
      <w:r w:rsidR="00876CC0">
        <w:t>m</w:t>
      </w:r>
      <w:r>
        <w:t xml:space="preserve"> s</w:t>
      </w:r>
      <w:r w:rsidR="00876CC0">
        <w:t>uffered precisely the same loss</w:t>
      </w:r>
      <w:r w:rsidRPr="00B913B0">
        <w:t>, they each receive 0.00001% of the total award</w:t>
      </w:r>
      <w:r>
        <w:t>; by contrast, a contingency fee may be in the region of 25%</w:t>
      </w:r>
      <w:r w:rsidRPr="00B913B0">
        <w:t xml:space="preserve">. Punitive damages make this arrangement </w:t>
      </w:r>
      <w:r w:rsidRPr="00B913B0">
        <w:lastRenderedPageBreak/>
        <w:t xml:space="preserve">more lucrative for attorneys and serve the regulatory function of punishing defendants for </w:t>
      </w:r>
      <w:r>
        <w:t>certain</w:t>
      </w:r>
      <w:r w:rsidRPr="00B913B0">
        <w:t xml:space="preserve"> behaviour. Together with contingency fees, they provide powerful financial incentives for lawyers</w:t>
      </w:r>
      <w:r>
        <w:t xml:space="preserve"> </w:t>
      </w:r>
      <w:r w:rsidR="00876CC0">
        <w:t>so as to make</w:t>
      </w:r>
      <w:r w:rsidRPr="00B913B0">
        <w:t xml:space="preserve"> </w:t>
      </w:r>
      <w:r>
        <w:t>the pursuit of these claims</w:t>
      </w:r>
      <w:r w:rsidRPr="00B913B0">
        <w:t xml:space="preserve"> worth their time. Furthermore, the cost allocation r</w:t>
      </w:r>
      <w:r>
        <w:t>ules in US litigation incentivis</w:t>
      </w:r>
      <w:r w:rsidRPr="00B913B0">
        <w:t xml:space="preserve">e settlements </w:t>
      </w:r>
      <w:r>
        <w:t>as</w:t>
      </w:r>
      <w:r w:rsidRPr="00B913B0">
        <w:t xml:space="preserve"> both sides are facing enormous costs. Lastly, the opt-out rule makes the scheme more effective because members have little incentive to actively opt into cla</w:t>
      </w:r>
      <w:r>
        <w:t>ss actions, particularly if the claims are themselves of</w:t>
      </w:r>
      <w:r w:rsidRPr="00B913B0">
        <w:t xml:space="preserve"> low value</w:t>
      </w:r>
      <w:r>
        <w:t>.</w:t>
      </w:r>
    </w:p>
    <w:p w:rsidR="00B913B0" w:rsidRDefault="00B913B0" w:rsidP="002A7CC3">
      <w:pPr>
        <w:outlineLvl w:val="1"/>
      </w:pPr>
      <w:r>
        <w:t>Together, these features</w:t>
      </w:r>
      <w:r w:rsidRPr="00A32786">
        <w:t xml:space="preserve"> paint a picture of how class actions in the United States fit into </w:t>
      </w:r>
      <w:r w:rsidR="004D7E66">
        <w:t>a</w:t>
      </w:r>
      <w:r w:rsidRPr="00A32786">
        <w:t xml:space="preserve"> broader regulatory framework; they quite deliberately form </w:t>
      </w:r>
      <w:r>
        <w:t xml:space="preserve">an intrinsic </w:t>
      </w:r>
      <w:r w:rsidRPr="00A32786">
        <w:t>part of it. Compared to the E</w:t>
      </w:r>
      <w:r>
        <w:t xml:space="preserve">uropean </w:t>
      </w:r>
      <w:r w:rsidRPr="00A32786">
        <w:t>U</w:t>
      </w:r>
      <w:r>
        <w:t>nion</w:t>
      </w:r>
      <w:r w:rsidRPr="00A32786">
        <w:t xml:space="preserve">, where national or Union authorities bear the brunt of the regulatory burden not only in competition law, but also other areas such as securities, the US class action regime creates </w:t>
      </w:r>
      <w:r>
        <w:t>“</w:t>
      </w:r>
      <w:r w:rsidRPr="00A32786">
        <w:t>private attorneys general</w:t>
      </w:r>
      <w:r>
        <w:t>”</w:t>
      </w:r>
      <w:r w:rsidRPr="00A32786">
        <w:t xml:space="preserve"> who are financially incentivized to more effectively police the behavio</w:t>
      </w:r>
      <w:r>
        <w:t>u</w:t>
      </w:r>
      <w:r w:rsidRPr="00A32786">
        <w:t xml:space="preserve">r of actors in the marketplace. By contrast, regulatory agencies’ </w:t>
      </w:r>
      <w:r>
        <w:t xml:space="preserve">limited </w:t>
      </w:r>
      <w:r w:rsidRPr="00A32786">
        <w:t xml:space="preserve">resources </w:t>
      </w:r>
      <w:r>
        <w:t>can</w:t>
      </w:r>
      <w:r w:rsidRPr="00A32786">
        <w:t xml:space="preserve"> be focused elsewhere. In some instances, a class action might even reveal wrongdoing that prompts the regulator to investigate it further. In other words, “class actions allow non-state actors to assume the collective responsibility that civil law systems have traditionally reserved exclusively for the state”.</w:t>
      </w:r>
      <w:r w:rsidRPr="00A32786">
        <w:rPr>
          <w:rStyle w:val="FootnoteReference"/>
        </w:rPr>
        <w:footnoteReference w:id="2"/>
      </w:r>
    </w:p>
    <w:p w:rsidR="004D7E66" w:rsidRDefault="004D7E66" w:rsidP="002A7CC3">
      <w:pPr>
        <w:outlineLvl w:val="1"/>
      </w:pPr>
      <w:r>
        <w:t xml:space="preserve">The Consumer Rights Act 2015 (“CRA”) embraces some features, but rejects others. Importantly, it is limited in scope to violations of competition law, and the Competition Appeals Tribunal (“CAT”) is given the power to decide on a case-by-case basis whether a class should be formed on an opt-in or opt-out approach. The CRA’s procedure can also be used both to establish liability in the first place and in so-called “follow on” actions to recover damages once a breach has been found by a competent authority. </w:t>
      </w:r>
    </w:p>
    <w:p w:rsidR="0067505A" w:rsidRDefault="004D7E66" w:rsidP="0067505A">
      <w:pPr>
        <w:outlineLvl w:val="1"/>
        <w:rPr>
          <w:iCs/>
          <w:lang w:val="en-US"/>
        </w:rPr>
      </w:pPr>
      <w:r>
        <w:t xml:space="preserve">It is right for the CRA to have </w:t>
      </w:r>
      <w:r w:rsidR="0067505A">
        <w:t>provided for</w:t>
      </w:r>
      <w:r>
        <w:t xml:space="preserve"> opt-out procedures. They benefit claimants as they make enforcement more economically viable</w:t>
      </w:r>
      <w:r w:rsidR="0067505A">
        <w:t>,</w:t>
      </w:r>
      <w:r>
        <w:t xml:space="preserve"> and </w:t>
      </w:r>
      <w:r w:rsidR="0067505A">
        <w:t xml:space="preserve">they benefit </w:t>
      </w:r>
      <w:r>
        <w:t xml:space="preserve">defendants because </w:t>
      </w:r>
      <w:r w:rsidR="00876CC0">
        <w:t>settlements create</w:t>
      </w:r>
      <w:r>
        <w:t xml:space="preserve"> what is referred to </w:t>
      </w:r>
      <w:r w:rsidR="0067505A">
        <w:t xml:space="preserve">as </w:t>
      </w:r>
      <w:r>
        <w:t>“global peace”</w:t>
      </w:r>
      <w:r w:rsidR="0067505A">
        <w:t xml:space="preserve"> – there is no risk for defendants to be sued again in respect of the same breach</w:t>
      </w:r>
      <w:r w:rsidR="00876CC0">
        <w:t>,</w:t>
      </w:r>
      <w:r w:rsidR="0067505A">
        <w:t xml:space="preserve"> </w:t>
      </w:r>
      <w:r w:rsidR="00876CC0">
        <w:t>and this</w:t>
      </w:r>
      <w:r w:rsidR="0067505A">
        <w:t xml:space="preserve"> also means that they “</w:t>
      </w:r>
      <w:r w:rsidR="0067505A" w:rsidRPr="0067505A">
        <w:t>will pay more for settlements that offer assuranc</w:t>
      </w:r>
      <w:r w:rsidR="0067505A">
        <w:t>es against future litigation</w:t>
      </w:r>
      <w:r w:rsidR="0067505A" w:rsidRPr="0067505A">
        <w:rPr>
          <w:iCs/>
          <w:lang w:val="en-US"/>
        </w:rPr>
        <w:t>”.</w:t>
      </w:r>
      <w:r w:rsidR="0067505A" w:rsidRPr="0067505A">
        <w:rPr>
          <w:iCs/>
          <w:vertAlign w:val="superscript"/>
          <w:lang w:val="en-US"/>
        </w:rPr>
        <w:footnoteReference w:id="3"/>
      </w:r>
    </w:p>
    <w:p w:rsidR="0067505A" w:rsidRDefault="0067505A" w:rsidP="0067505A">
      <w:pPr>
        <w:spacing w:before="100" w:beforeAutospacing="1" w:after="100" w:afterAutospacing="1"/>
        <w:outlineLvl w:val="1"/>
        <w:rPr>
          <w:rFonts w:eastAsia="Times New Roman" w:cs="Times New Roman"/>
          <w:color w:val="000000"/>
          <w:lang w:eastAsia="en-GB"/>
        </w:rPr>
      </w:pPr>
      <w:r>
        <w:rPr>
          <w:iCs/>
          <w:lang w:val="en-US"/>
        </w:rPr>
        <w:t xml:space="preserve">In any system of collective redress, certification of a class serves as the bottle neck. </w:t>
      </w:r>
      <w:r>
        <w:rPr>
          <w:rFonts w:eastAsia="Times New Roman" w:cs="Times New Roman"/>
          <w:color w:val="000000"/>
          <w:lang w:eastAsia="en-GB"/>
        </w:rPr>
        <w:t>The CAT has recognised the need for a “rigorous”</w:t>
      </w:r>
      <w:r>
        <w:rPr>
          <w:rStyle w:val="FootnoteReference"/>
          <w:rFonts w:eastAsia="Times New Roman" w:cs="Times New Roman"/>
          <w:color w:val="000000"/>
          <w:lang w:eastAsia="en-GB"/>
        </w:rPr>
        <w:footnoteReference w:id="4"/>
      </w:r>
      <w:r>
        <w:rPr>
          <w:rFonts w:eastAsia="Times New Roman" w:cs="Times New Roman"/>
          <w:color w:val="000000"/>
          <w:lang w:eastAsia="en-GB"/>
        </w:rPr>
        <w:t xml:space="preserve"> approach to certification which “require[s] the Tribunal to scrutinise an application for a </w:t>
      </w:r>
      <w:r w:rsidR="00876CC0">
        <w:rPr>
          <w:rFonts w:eastAsia="Times New Roman" w:cs="Times New Roman"/>
          <w:color w:val="000000"/>
          <w:lang w:eastAsia="en-GB"/>
        </w:rPr>
        <w:t>[collective proceedings order]</w:t>
      </w:r>
      <w:r>
        <w:rPr>
          <w:rFonts w:eastAsia="Times New Roman" w:cs="Times New Roman"/>
          <w:color w:val="000000"/>
          <w:lang w:eastAsia="en-GB"/>
        </w:rPr>
        <w:t xml:space="preserve"> with particular care, to ensure that only appropriate cases go forward”</w:t>
      </w:r>
      <w:r>
        <w:rPr>
          <w:rStyle w:val="FootnoteReference"/>
          <w:rFonts w:eastAsia="Times New Roman" w:cs="Times New Roman"/>
          <w:color w:val="000000"/>
          <w:lang w:eastAsia="en-GB"/>
        </w:rPr>
        <w:footnoteReference w:id="5"/>
      </w:r>
      <w:r>
        <w:rPr>
          <w:rFonts w:eastAsia="Times New Roman" w:cs="Times New Roman"/>
          <w:color w:val="000000"/>
          <w:lang w:eastAsia="en-GB"/>
        </w:rPr>
        <w:t>. Rule 79 of the Competition Tribunal Rules 2015 provides the rules for certification:</w:t>
      </w:r>
    </w:p>
    <w:p w:rsidR="0067505A" w:rsidRPr="00A32786" w:rsidRDefault="0067505A" w:rsidP="0067505A">
      <w:pPr>
        <w:pStyle w:val="Quote"/>
      </w:pPr>
      <w:r w:rsidRPr="00A32786">
        <w:rPr>
          <w:b/>
          <w:bCs/>
        </w:rPr>
        <w:t>(</w:t>
      </w:r>
      <w:r w:rsidRPr="00A32786">
        <w:t xml:space="preserve">1) The Tribunal may certify claims as eligible for inclusion in collective proceedings where, having regard to all the circumstances, it is satisfied by the proposed class representative that the claims sought to be included in the collective proceedings— </w:t>
      </w:r>
    </w:p>
    <w:p w:rsidR="0067505A" w:rsidRPr="00A32786" w:rsidRDefault="0067505A" w:rsidP="0067505A">
      <w:pPr>
        <w:pStyle w:val="Quote"/>
      </w:pPr>
      <w:r w:rsidRPr="00A32786">
        <w:tab/>
        <w:t xml:space="preserve">(a) are brought on behalf of an identifiable class of persons; </w:t>
      </w:r>
      <w:r w:rsidRPr="00A32786">
        <w:rPr>
          <w:rFonts w:ascii="MS Mincho" w:eastAsia="MS Mincho" w:hAnsi="MS Mincho" w:cs="MS Mincho"/>
        </w:rPr>
        <w:t> </w:t>
      </w:r>
    </w:p>
    <w:p w:rsidR="0067505A" w:rsidRPr="00A32786" w:rsidRDefault="0067505A" w:rsidP="0067505A">
      <w:pPr>
        <w:pStyle w:val="Quote"/>
      </w:pPr>
      <w:r w:rsidRPr="00A32786">
        <w:tab/>
        <w:t xml:space="preserve">(b) raise common issues; and </w:t>
      </w:r>
      <w:r w:rsidRPr="00A32786">
        <w:rPr>
          <w:rFonts w:ascii="MS Mincho" w:eastAsia="MS Mincho" w:hAnsi="MS Mincho" w:cs="MS Mincho"/>
        </w:rPr>
        <w:t> </w:t>
      </w:r>
    </w:p>
    <w:p w:rsidR="0067505A" w:rsidRPr="00A32786" w:rsidRDefault="0067505A" w:rsidP="0067505A">
      <w:pPr>
        <w:pStyle w:val="Quote"/>
      </w:pPr>
      <w:r w:rsidRPr="00A32786">
        <w:tab/>
        <w:t xml:space="preserve">(c) are suitable to be brought in collective proceedings. </w:t>
      </w:r>
      <w:r w:rsidRPr="00A32786">
        <w:rPr>
          <w:rFonts w:ascii="MS Mincho" w:eastAsia="MS Mincho" w:hAnsi="MS Mincho" w:cs="MS Mincho"/>
        </w:rPr>
        <w:t> </w:t>
      </w:r>
    </w:p>
    <w:p w:rsidR="0067505A" w:rsidRDefault="0067505A" w:rsidP="0067505A">
      <w:pPr>
        <w:spacing w:before="100" w:beforeAutospacing="1" w:after="100" w:afterAutospacing="1"/>
        <w:outlineLvl w:val="1"/>
        <w:rPr>
          <w:rFonts w:eastAsia="Times New Roman" w:cs="Times New Roman"/>
          <w:color w:val="000000"/>
          <w:lang w:eastAsia="en-GB"/>
        </w:rPr>
      </w:pPr>
      <w:r>
        <w:rPr>
          <w:rFonts w:eastAsia="Times New Roman" w:cs="Times New Roman"/>
          <w:color w:val="000000"/>
          <w:lang w:eastAsia="en-GB"/>
        </w:rPr>
        <w:t xml:space="preserve">The most important issue is that of commonality. Rejecting the US approach to certification, the CAT in the only two cases that have dealt with this issue – </w:t>
      </w:r>
      <w:r>
        <w:rPr>
          <w:rFonts w:eastAsia="Times New Roman" w:cs="Times New Roman"/>
          <w:i/>
          <w:color w:val="000000"/>
          <w:lang w:eastAsia="en-GB"/>
        </w:rPr>
        <w:t xml:space="preserve">Gibson </w:t>
      </w:r>
      <w:r>
        <w:rPr>
          <w:rFonts w:eastAsia="Times New Roman" w:cs="Times New Roman"/>
          <w:color w:val="000000"/>
          <w:lang w:eastAsia="en-GB"/>
        </w:rPr>
        <w:t xml:space="preserve">and </w:t>
      </w:r>
      <w:r>
        <w:rPr>
          <w:rFonts w:eastAsia="Times New Roman" w:cs="Times New Roman"/>
          <w:i/>
          <w:color w:val="000000"/>
          <w:lang w:eastAsia="en-GB"/>
        </w:rPr>
        <w:t xml:space="preserve">Merricks </w:t>
      </w:r>
      <w:r>
        <w:rPr>
          <w:rFonts w:eastAsia="Times New Roman" w:cs="Times New Roman"/>
          <w:color w:val="000000"/>
          <w:lang w:eastAsia="en-GB"/>
        </w:rPr>
        <w:t xml:space="preserve">– approved the Canadian Supreme Court’s test articulated by Rothstein J in </w:t>
      </w:r>
      <w:r>
        <w:rPr>
          <w:rFonts w:eastAsia="Times New Roman" w:cs="Times New Roman"/>
          <w:i/>
          <w:color w:val="000000"/>
          <w:lang w:eastAsia="en-GB"/>
        </w:rPr>
        <w:t xml:space="preserve">Pro-Sys Consultants v Microsoft </w:t>
      </w:r>
      <w:r>
        <w:rPr>
          <w:rFonts w:eastAsia="Times New Roman" w:cs="Times New Roman"/>
          <w:color w:val="000000"/>
          <w:lang w:eastAsia="en-GB"/>
        </w:rPr>
        <w:t>[2013] SCC 57 (at para 118):</w:t>
      </w:r>
    </w:p>
    <w:p w:rsidR="0067505A" w:rsidRPr="00B2624F" w:rsidRDefault="0067505A" w:rsidP="0067505A">
      <w:pPr>
        <w:pStyle w:val="Quote"/>
        <w:rPr>
          <w:lang w:eastAsia="en-GB"/>
        </w:rPr>
      </w:pPr>
      <w:r>
        <w:rPr>
          <w:shd w:val="clear" w:color="auto" w:fill="FFFFFF"/>
          <w:lang w:eastAsia="en-GB"/>
        </w:rPr>
        <w:t>[T]</w:t>
      </w:r>
      <w:r w:rsidRPr="00B2624F">
        <w:rPr>
          <w:shd w:val="clear" w:color="auto" w:fill="FFFFFF"/>
          <w:lang w:eastAsia="en-GB"/>
        </w:rPr>
        <w:t>he expert methodology must be sufficiently credible or plausible to establish some basis in fact for the commonality requirement. This means that the methodology must offer a realistic prospect of establishing loss on a class-wide basis so that, if the overcharge is eventually established at the trial of the common issues, there is a means by which to demonstrate that it is common to the class (i.e. that passing on has occurred). The methodology cannot be purely theoretical or hypothetical, but must be grounded in the facts of the particular case in question. There must be some evidence of the availability of the data to which the methodology is to be applied.</w:t>
      </w:r>
    </w:p>
    <w:p w:rsidR="0067505A" w:rsidRDefault="0067505A" w:rsidP="0067505A">
      <w:pPr>
        <w:outlineLvl w:val="1"/>
        <w:rPr>
          <w:iCs/>
          <w:lang w:val="en-US"/>
        </w:rPr>
      </w:pPr>
      <w:r>
        <w:rPr>
          <w:iCs/>
          <w:lang w:val="en-US"/>
        </w:rPr>
        <w:t xml:space="preserve">In the event, neither the class in </w:t>
      </w:r>
      <w:r>
        <w:rPr>
          <w:i/>
          <w:iCs/>
          <w:lang w:val="en-US"/>
        </w:rPr>
        <w:t xml:space="preserve">Gibson </w:t>
      </w:r>
      <w:r>
        <w:rPr>
          <w:iCs/>
          <w:lang w:val="en-US"/>
        </w:rPr>
        <w:t xml:space="preserve">nor the class in </w:t>
      </w:r>
      <w:r>
        <w:rPr>
          <w:i/>
          <w:iCs/>
          <w:lang w:val="en-US"/>
        </w:rPr>
        <w:t xml:space="preserve">Merricks </w:t>
      </w:r>
      <w:r>
        <w:rPr>
          <w:iCs/>
          <w:lang w:val="en-US"/>
        </w:rPr>
        <w:t xml:space="preserve">were certified, but the use of the more liberal Canadian test is to be welcomed. </w:t>
      </w:r>
      <w:r w:rsidR="00F452B8">
        <w:rPr>
          <w:iCs/>
          <w:lang w:val="en-US"/>
        </w:rPr>
        <w:t xml:space="preserve">In particular, it is clear that the CAT aims to avoid turning certification into an enormously costly quasi trial. </w:t>
      </w:r>
    </w:p>
    <w:p w:rsidR="00F452B8" w:rsidRDefault="00F452B8" w:rsidP="00F452B8">
      <w:pPr>
        <w:rPr>
          <w:iCs/>
          <w:lang w:val="en-US"/>
        </w:rPr>
      </w:pPr>
      <w:r>
        <w:t>On funding, t</w:t>
      </w:r>
      <w:r w:rsidRPr="00A32786">
        <w:t>he CRA walks a fine line. Contingency fee arrangements with lawyers are prohibited, but third par</w:t>
      </w:r>
      <w:r>
        <w:t xml:space="preserve">ty funding can be obtained. </w:t>
      </w:r>
      <w:r>
        <w:rPr>
          <w:iCs/>
          <w:lang w:val="en-US"/>
        </w:rPr>
        <w:t xml:space="preserve">Due to the English </w:t>
      </w:r>
      <w:r w:rsidRPr="00A32786">
        <w:t xml:space="preserve">“loser pays” rule, the obtaining of third party funding will prove crucial in the vast majority of cases. Under the legislative scheme, it is the class representative, </w:t>
      </w:r>
      <w:r w:rsidRPr="00A32786">
        <w:rPr>
          <w:i/>
        </w:rPr>
        <w:t xml:space="preserve">not </w:t>
      </w:r>
      <w:r w:rsidRPr="00A32786">
        <w:t>the class members, who is liable for the costs.</w:t>
      </w:r>
      <w:r>
        <w:t xml:space="preserve"> Interestingly, the CAT did not show itself overly concerned in either case that the </w:t>
      </w:r>
      <w:r w:rsidR="00876CC0">
        <w:t xml:space="preserve">representatives’ </w:t>
      </w:r>
      <w:r>
        <w:t xml:space="preserve">financing arrangements may not actually cover the defendant’s costs which further demonstrates a liberal approach to the problems. Yet, in </w:t>
      </w:r>
      <w:r w:rsidRPr="00A32786">
        <w:t>the absence of punitive damages</w:t>
      </w:r>
      <w:r>
        <w:t xml:space="preserve">, </w:t>
      </w:r>
      <w:r w:rsidRPr="00A32786">
        <w:t xml:space="preserve">the funder </w:t>
      </w:r>
      <w:r>
        <w:t>may need to be</w:t>
      </w:r>
      <w:r w:rsidRPr="00A32786">
        <w:t xml:space="preserve"> paid out of what were compensatory damages resulting in less than full compensation for the infringements to the rights that </w:t>
      </w:r>
      <w:r>
        <w:t>members of the class</w:t>
      </w:r>
      <w:r w:rsidRPr="00A32786">
        <w:t xml:space="preserve"> had suffered.</w:t>
      </w:r>
    </w:p>
    <w:p w:rsidR="00B913B0" w:rsidRDefault="00876CC0" w:rsidP="002A7CC3">
      <w:pPr>
        <w:outlineLvl w:val="1"/>
      </w:pPr>
      <w:r>
        <w:rPr>
          <w:iCs/>
          <w:lang w:val="en-US"/>
        </w:rPr>
        <w:t>Although c</w:t>
      </w:r>
      <w:r w:rsidR="0067505A">
        <w:rPr>
          <w:iCs/>
          <w:lang w:val="en-US"/>
        </w:rPr>
        <w:t xml:space="preserve">ollective proceedings </w:t>
      </w:r>
      <w:r w:rsidR="00F452B8">
        <w:rPr>
          <w:iCs/>
          <w:lang w:val="en-US"/>
        </w:rPr>
        <w:t>remain a relati</w:t>
      </w:r>
      <w:r>
        <w:rPr>
          <w:iCs/>
          <w:lang w:val="en-US"/>
        </w:rPr>
        <w:t xml:space="preserve">vely unexplored area in the UK, </w:t>
      </w:r>
      <w:r w:rsidR="00F452B8">
        <w:rPr>
          <w:iCs/>
          <w:lang w:val="en-US"/>
        </w:rPr>
        <w:t>they have an enormous potentia</w:t>
      </w:r>
      <w:r w:rsidR="000048B1">
        <w:rPr>
          <w:iCs/>
          <w:lang w:val="en-US"/>
        </w:rPr>
        <w:t>l to improve access to justice</w:t>
      </w:r>
      <w:r>
        <w:rPr>
          <w:iCs/>
          <w:lang w:val="en-US"/>
        </w:rPr>
        <w:t xml:space="preserve">. </w:t>
      </w:r>
      <w:r w:rsidR="000048B1">
        <w:rPr>
          <w:iCs/>
          <w:lang w:val="en-US"/>
        </w:rPr>
        <w:t xml:space="preserve">Class actions highlight the potential of procedural means to be used to achieve substantive ends, namely the effective enforcement </w:t>
      </w:r>
      <w:r>
        <w:rPr>
          <w:iCs/>
          <w:lang w:val="en-US"/>
        </w:rPr>
        <w:t>of legal rights, and they should be extended beyond the area of competition law.</w:t>
      </w:r>
    </w:p>
    <w:p w:rsidR="002A7CC3" w:rsidRPr="002A7CC3" w:rsidRDefault="002A7CC3" w:rsidP="002A7CC3">
      <w:pPr>
        <w:pStyle w:val="Heading1"/>
      </w:pPr>
      <w:r w:rsidRPr="002A7CC3">
        <w:t>Smart Contracts</w:t>
      </w:r>
    </w:p>
    <w:p w:rsidR="002A7CC3" w:rsidRDefault="002A7CC3" w:rsidP="002A7CC3">
      <w:r>
        <w:t xml:space="preserve">The term “smart contracts” has been coined by Nick Szabo more than 20 years ago. Szabo is a reclusive cryptographer who some believe is hiding behind the pseudonym of Satoshi Nakamoto, the founder of Bitcoin. He denies it. In any case, Szabo made a notable contribution to the development of Bitcoin with his </w:t>
      </w:r>
      <w:r w:rsidR="00464427">
        <w:t xml:space="preserve">previous </w:t>
      </w:r>
      <w:r>
        <w:t>proposal</w:t>
      </w:r>
      <w:r w:rsidR="00464427">
        <w:t>s</w:t>
      </w:r>
      <w:r>
        <w:t xml:space="preserve"> for the Bit Gold </w:t>
      </w:r>
      <w:r w:rsidRPr="00976298">
        <w:t xml:space="preserve">system </w:t>
      </w:r>
      <w:r>
        <w:t>which described many of the core concepts used in Bitcoin, and his ideas about smart contracts have gained prominence in recent years.</w:t>
      </w:r>
    </w:p>
    <w:p w:rsidR="00464427" w:rsidRDefault="002A7CC3" w:rsidP="00C24B4D">
      <w:r w:rsidRPr="002A7CC3">
        <w:t>Szabo defined a smart contract as “a set of promises, specified in digital form, including protocols within which the parties perform on the other promises”. In other words, a smart contract would put contractual transactions into the form of self-executing code. The Blockchain technology</w:t>
      </w:r>
      <w:r w:rsidR="00C24B4D">
        <w:t>, which</w:t>
      </w:r>
      <w:r w:rsidRPr="002A7CC3">
        <w:t xml:space="preserve"> </w:t>
      </w:r>
      <w:r w:rsidR="00C24B4D">
        <w:t>underlies</w:t>
      </w:r>
      <w:r>
        <w:t xml:space="preserve"> Bitcoin</w:t>
      </w:r>
      <w:r w:rsidR="00C24B4D">
        <w:t>,</w:t>
      </w:r>
      <w:r>
        <w:t xml:space="preserve"> </w:t>
      </w:r>
      <w:r w:rsidRPr="002A7CC3">
        <w:t xml:space="preserve">removed the need for a trusted third party to serve as a depository of </w:t>
      </w:r>
      <w:r w:rsidR="00C24B4D">
        <w:t>contractual code. I</w:t>
      </w:r>
      <w:r w:rsidRPr="002A7CC3">
        <w:t>t</w:t>
      </w:r>
      <w:r w:rsidR="00C24B4D">
        <w:t xml:space="preserve"> thus</w:t>
      </w:r>
      <w:r w:rsidRPr="002A7CC3">
        <w:t xml:space="preserve"> became possible for two parties to create tamper-proof code that would transfer assets if certain conditions were met. </w:t>
      </w:r>
    </w:p>
    <w:p w:rsidR="002A7CC3" w:rsidRDefault="00C24B4D" w:rsidP="00C24B4D">
      <w:r>
        <w:t>T</w:t>
      </w:r>
      <w:r w:rsidR="002A7CC3" w:rsidRPr="002A7CC3">
        <w:t>he creation</w:t>
      </w:r>
      <w:r>
        <w:t xml:space="preserve"> of self-enforcing agreements renders r</w:t>
      </w:r>
      <w:r w:rsidR="002A7CC3" w:rsidRPr="002A7CC3">
        <w:t xml:space="preserve">ecourse to the apparatus of coercion provided by the legal system </w:t>
      </w:r>
      <w:r>
        <w:t xml:space="preserve">of a statute </w:t>
      </w:r>
      <w:r w:rsidR="002A7CC3" w:rsidRPr="002A7CC3">
        <w:t xml:space="preserve">to effect enforcement </w:t>
      </w:r>
      <w:r>
        <w:t xml:space="preserve">entirely </w:t>
      </w:r>
      <w:r w:rsidR="002A7CC3" w:rsidRPr="002A7CC3">
        <w:t>unnecessary.</w:t>
      </w:r>
    </w:p>
    <w:p w:rsidR="00C24B4D" w:rsidRDefault="00C24B4D" w:rsidP="002A7CC3">
      <w:r>
        <w:t xml:space="preserve">The problem is that smart contracts </w:t>
      </w:r>
      <w:r w:rsidRPr="00C24B4D">
        <w:t xml:space="preserve">are neither smart nor contracts. As things stand, they are </w:t>
      </w:r>
      <w:r>
        <w:t>pretty feeble-minded conditional</w:t>
      </w:r>
      <w:r w:rsidRPr="00C24B4D">
        <w:t xml:space="preserve"> </w:t>
      </w:r>
      <w:r w:rsidR="00464427">
        <w:t>conveyances</w:t>
      </w:r>
      <w:r w:rsidRPr="00C24B4D">
        <w:t xml:space="preserve">. The smart contract functions like an escrow account </w:t>
      </w:r>
      <w:r>
        <w:t xml:space="preserve">– an initial transfer of funds that is part of the transaction guarantees that payment can </w:t>
      </w:r>
      <w:r w:rsidR="00464427">
        <w:t xml:space="preserve">later </w:t>
      </w:r>
      <w:r>
        <w:t xml:space="preserve">occur. However, </w:t>
      </w:r>
      <w:r w:rsidRPr="00C24B4D">
        <w:t>there is no need for a trusted third party to se</w:t>
      </w:r>
      <w:r w:rsidR="00464427">
        <w:t>rve as the distributor of funds;</w:t>
      </w:r>
      <w:r w:rsidRPr="00C24B4D">
        <w:t xml:space="preserve"> distribution is automated </w:t>
      </w:r>
      <w:r w:rsidR="0036264F">
        <w:t>up</w:t>
      </w:r>
      <w:r w:rsidR="0036264F" w:rsidRPr="00C24B4D">
        <w:t>on</w:t>
      </w:r>
      <w:r w:rsidRPr="00C24B4D">
        <w:t xml:space="preserve"> the occurrence of </w:t>
      </w:r>
      <w:r w:rsidR="0036264F">
        <w:t>specified</w:t>
      </w:r>
      <w:r w:rsidRPr="00C24B4D">
        <w:t xml:space="preserve"> conditions.</w:t>
      </w:r>
      <w:r>
        <w:t xml:space="preserve"> This</w:t>
      </w:r>
      <w:r w:rsidRPr="00C24B4D">
        <w:t xml:space="preserve"> distillation of contractual arrangements into a set of if/else-clauses require</w:t>
      </w:r>
      <w:r>
        <w:t>s</w:t>
      </w:r>
      <w:r w:rsidRPr="00C24B4D">
        <w:t xml:space="preserve"> a mechanism by which the </w:t>
      </w:r>
      <w:r w:rsidR="00464427">
        <w:t>contract</w:t>
      </w:r>
      <w:r w:rsidRPr="00C24B4D">
        <w:t xml:space="preserve"> can </w:t>
      </w:r>
      <w:r w:rsidR="00464427">
        <w:t>know whether</w:t>
      </w:r>
      <w:r w:rsidRPr="00C24B4D">
        <w:t xml:space="preserve"> condition</w:t>
      </w:r>
      <w:r w:rsidR="00464427">
        <w:t>s</w:t>
      </w:r>
      <w:r w:rsidRPr="00C24B4D">
        <w:t xml:space="preserve"> of payment </w:t>
      </w:r>
      <w:r w:rsidR="00464427">
        <w:t>have been</w:t>
      </w:r>
      <w:r>
        <w:t xml:space="preserve"> met: a so-called “oracle”. </w:t>
      </w:r>
    </w:p>
    <w:p w:rsidR="00C24B4D" w:rsidRDefault="00C24B4D" w:rsidP="00C56A69">
      <w:pPr>
        <w:rPr>
          <w:rFonts w:cs="Times New Roman"/>
        </w:rPr>
      </w:pPr>
      <w:r w:rsidRPr="00C56A69">
        <w:rPr>
          <w:rFonts w:cs="Times New Roman"/>
        </w:rPr>
        <w:t xml:space="preserve">The need for an oracle can be demonstrated with a fairly simple example: </w:t>
      </w:r>
      <w:r w:rsidR="00C56A69" w:rsidRPr="00C56A69">
        <w:rPr>
          <w:rFonts w:cs="Times New Roman"/>
        </w:rPr>
        <w:t>X</w:t>
      </w:r>
      <w:r w:rsidRPr="00C56A69">
        <w:rPr>
          <w:rFonts w:cs="Times New Roman"/>
        </w:rPr>
        <w:t xml:space="preserve"> enters a bet with </w:t>
      </w:r>
      <w:r w:rsidR="00C56A69" w:rsidRPr="00C56A69">
        <w:rPr>
          <w:rFonts w:cs="Times New Roman"/>
        </w:rPr>
        <w:t>Y</w:t>
      </w:r>
      <w:r w:rsidRPr="00C56A69">
        <w:rPr>
          <w:rFonts w:cs="Times New Roman"/>
        </w:rPr>
        <w:t xml:space="preserve"> that it will rain in London </w:t>
      </w:r>
      <w:r w:rsidR="00C56A69" w:rsidRPr="00C56A69">
        <w:rPr>
          <w:rFonts w:cs="Times New Roman"/>
        </w:rPr>
        <w:t>on a certain day</w:t>
      </w:r>
      <w:r w:rsidRPr="00C56A69">
        <w:rPr>
          <w:rFonts w:cs="Times New Roman"/>
        </w:rPr>
        <w:t xml:space="preserve">. At midnight, the total of what has been initially transferred by both A and B will be deposited in </w:t>
      </w:r>
      <w:r w:rsidR="00C56A69" w:rsidRPr="00C56A69">
        <w:rPr>
          <w:rFonts w:cs="Times New Roman"/>
        </w:rPr>
        <w:t>X</w:t>
      </w:r>
      <w:r w:rsidRPr="00C56A69">
        <w:rPr>
          <w:rFonts w:cs="Times New Roman"/>
        </w:rPr>
        <w:t xml:space="preserve">’s account if it rained that day and </w:t>
      </w:r>
      <w:r w:rsidRPr="00C56A69">
        <w:rPr>
          <w:rFonts w:cs="Times New Roman"/>
          <w:i/>
        </w:rPr>
        <w:t>vice versa</w:t>
      </w:r>
      <w:r w:rsidRPr="00C56A69">
        <w:rPr>
          <w:rFonts w:cs="Times New Roman"/>
        </w:rPr>
        <w:t xml:space="preserve">. </w:t>
      </w:r>
      <w:r w:rsidR="00C56A69" w:rsidRPr="00C56A69">
        <w:rPr>
          <w:rFonts w:cs="Times New Roman"/>
        </w:rPr>
        <w:t>Since the code has no way to interact with the world outside the Blockchain, it must rely on data coming from somewhere</w:t>
      </w:r>
      <w:r w:rsidR="00876CC0">
        <w:rPr>
          <w:rFonts w:cs="Times New Roman"/>
        </w:rPr>
        <w:t xml:space="preserve"> to determine whether it in fact rained</w:t>
      </w:r>
      <w:r w:rsidR="00C56A69" w:rsidRPr="00C56A69">
        <w:rPr>
          <w:rFonts w:cs="Times New Roman"/>
        </w:rPr>
        <w:t xml:space="preserve">. Thus, a trusted third-party </w:t>
      </w:r>
      <w:r w:rsidR="00C56A69" w:rsidRPr="00C56A69">
        <w:rPr>
          <w:rFonts w:cs="Times New Roman"/>
          <w:i/>
        </w:rPr>
        <w:t xml:space="preserve">distributor </w:t>
      </w:r>
      <w:r w:rsidR="00C56A69" w:rsidRPr="00C56A69">
        <w:rPr>
          <w:rFonts w:cs="Times New Roman"/>
        </w:rPr>
        <w:t xml:space="preserve">is replaced with a trusted third-party </w:t>
      </w:r>
      <w:r w:rsidR="00C56A69" w:rsidRPr="00C56A69">
        <w:rPr>
          <w:rFonts w:cs="Times New Roman"/>
          <w:i/>
        </w:rPr>
        <w:t>data supplier</w:t>
      </w:r>
      <w:r w:rsidR="00C56A69" w:rsidRPr="00C56A69">
        <w:rPr>
          <w:rFonts w:cs="Times New Roman"/>
        </w:rPr>
        <w:t>.</w:t>
      </w:r>
    </w:p>
    <w:p w:rsidR="00C56A69" w:rsidRDefault="00C56A69" w:rsidP="00C56A69">
      <w:pPr>
        <w:rPr>
          <w:rFonts w:cs="Times New Roman"/>
        </w:rPr>
      </w:pPr>
      <w:r w:rsidRPr="00C56A69">
        <w:rPr>
          <w:rFonts w:cs="Times New Roman"/>
        </w:rPr>
        <w:t xml:space="preserve">Another limitation inherent </w:t>
      </w:r>
      <w:r>
        <w:rPr>
          <w:rFonts w:cs="Times New Roman"/>
        </w:rPr>
        <w:t>in</w:t>
      </w:r>
      <w:r w:rsidRPr="00C56A69">
        <w:rPr>
          <w:rFonts w:cs="Times New Roman"/>
        </w:rPr>
        <w:t xml:space="preserve"> smart contracts lies in their ability to interact with the real world – real in the sense of its Latin root </w:t>
      </w:r>
      <w:r w:rsidRPr="00C56A69">
        <w:rPr>
          <w:rFonts w:cs="Times New Roman"/>
          <w:i/>
        </w:rPr>
        <w:t>res</w:t>
      </w:r>
      <w:r w:rsidRPr="00C56A69">
        <w:rPr>
          <w:rFonts w:cs="Times New Roman"/>
        </w:rPr>
        <w:t>, i.e. the adjective to the word “thing”. Whilst a smart contract on the Blockchain can easily transfer asset</w:t>
      </w:r>
      <w:r>
        <w:rPr>
          <w:rFonts w:cs="Times New Roman"/>
        </w:rPr>
        <w:t xml:space="preserve"> that are on the Blockchain</w:t>
      </w:r>
      <w:r w:rsidRPr="00C56A69">
        <w:rPr>
          <w:rFonts w:cs="Times New Roman"/>
        </w:rPr>
        <w:t xml:space="preserve">, such as a given unit of Bitcoin, it cannot </w:t>
      </w:r>
      <w:r>
        <w:rPr>
          <w:rFonts w:cs="Times New Roman"/>
        </w:rPr>
        <w:t>transfer</w:t>
      </w:r>
      <w:r w:rsidRPr="00C56A69">
        <w:rPr>
          <w:rFonts w:cs="Times New Roman"/>
        </w:rPr>
        <w:t xml:space="preserve"> off-Blockchain assets. Crucially, this limitation is only significant to the extent that applications remain disconnected from the Blockchain. Accordingly, a smart contract could conceivably make the use of a connected autonomous car to the Blockchain subject to payment by the passenger</w:t>
      </w:r>
      <w:r>
        <w:rPr>
          <w:rFonts w:cs="Times New Roman"/>
        </w:rPr>
        <w:t xml:space="preserve">. A smart contract could also </w:t>
      </w:r>
      <w:r w:rsidRPr="00C56A69">
        <w:rPr>
          <w:rFonts w:cs="Times New Roman"/>
        </w:rPr>
        <w:t>effect the transfer of title to land on a land register.</w:t>
      </w:r>
      <w:r>
        <w:rPr>
          <w:rFonts w:cs="Times New Roman"/>
        </w:rPr>
        <w:t xml:space="preserve"> </w:t>
      </w:r>
    </w:p>
    <w:p w:rsidR="00C56A69" w:rsidRDefault="00C56A69" w:rsidP="00C56A69">
      <w:pPr>
        <w:rPr>
          <w:rFonts w:cs="Times New Roman"/>
        </w:rPr>
      </w:pPr>
      <w:r>
        <w:rPr>
          <w:rFonts w:cs="Times New Roman"/>
        </w:rPr>
        <w:t xml:space="preserve">Despite its current short-comings, the potential of the technology is vast. Furthermore, it brings with it a fundamental change in its conception of law and the legal process. It is often pithily expressed in the slogan that “code is law”. Transactions on the Blockchain are irreversible. Reversibility would imperil the central </w:t>
      </w:r>
      <w:r w:rsidRPr="00C56A69">
        <w:rPr>
          <w:rFonts w:cs="Times New Roman"/>
        </w:rPr>
        <w:t>promise of a payment system free of censorship</w:t>
      </w:r>
      <w:r>
        <w:rPr>
          <w:rFonts w:cs="Times New Roman"/>
        </w:rPr>
        <w:t xml:space="preserve"> because it would require the appointment of a central authority – that is precisely what Bitcoin aimed to avoid</w:t>
      </w:r>
      <w:r w:rsidRPr="00C56A69">
        <w:rPr>
          <w:rFonts w:cs="Times New Roman"/>
        </w:rPr>
        <w:t>.</w:t>
      </w:r>
      <w:r w:rsidRPr="00C56A69">
        <w:t xml:space="preserve"> </w:t>
      </w:r>
      <w:r w:rsidRPr="00C56A69">
        <w:rPr>
          <w:rFonts w:cs="Times New Roman"/>
        </w:rPr>
        <w:t>Importantly, censorship is in this context means the imposition of any barriers to the free movement of funds</w:t>
      </w:r>
      <w:r w:rsidR="00464427">
        <w:rPr>
          <w:rFonts w:cs="Times New Roman"/>
        </w:rPr>
        <w:t>, including</w:t>
      </w:r>
      <w:r w:rsidRPr="00C56A69">
        <w:rPr>
          <w:rFonts w:cs="Times New Roman"/>
        </w:rPr>
        <w:t xml:space="preserve"> the freezing of funds </w:t>
      </w:r>
      <w:r w:rsidR="00464427">
        <w:rPr>
          <w:rFonts w:cs="Times New Roman"/>
        </w:rPr>
        <w:t xml:space="preserve">and </w:t>
      </w:r>
      <w:r w:rsidRPr="00C56A69">
        <w:rPr>
          <w:rFonts w:cs="Times New Roman"/>
        </w:rPr>
        <w:t xml:space="preserve">the </w:t>
      </w:r>
      <w:r w:rsidR="00464427">
        <w:rPr>
          <w:rFonts w:cs="Times New Roman"/>
        </w:rPr>
        <w:t xml:space="preserve">blacklisting of organisations so as to prevent </w:t>
      </w:r>
      <w:r w:rsidRPr="00C56A69">
        <w:rPr>
          <w:rFonts w:cs="Times New Roman"/>
        </w:rPr>
        <w:t xml:space="preserve">transfers to </w:t>
      </w:r>
      <w:r w:rsidR="00464427">
        <w:rPr>
          <w:rFonts w:cs="Times New Roman"/>
        </w:rPr>
        <w:t xml:space="preserve">them. </w:t>
      </w:r>
    </w:p>
    <w:p w:rsidR="0036264F" w:rsidRDefault="0036264F" w:rsidP="00C56A69">
      <w:pPr>
        <w:rPr>
          <w:rFonts w:cs="Times New Roman"/>
        </w:rPr>
      </w:pPr>
      <w:r>
        <w:rPr>
          <w:rFonts w:cs="Times New Roman"/>
        </w:rPr>
        <w:t xml:space="preserve">Nevertheless, there are ways of coupling smart contracts with dispute resolution mechanisms. For instance, transfers can be conditional upon the decision of an adjudicator appointed by the parties. It is also important to emphasise that a reversibility layer can always be added. Due to the globalised nature of </w:t>
      </w:r>
      <w:r w:rsidRPr="0036264F">
        <w:rPr>
          <w:rFonts w:cs="Times New Roman"/>
        </w:rPr>
        <w:t>Bitcoin, appointment of a central authority would require either the creation of a multilateral body or the subjugation of the entire global network to one national authority.</w:t>
      </w:r>
      <w:r>
        <w:rPr>
          <w:rFonts w:cs="Times New Roman"/>
        </w:rPr>
        <w:t xml:space="preserve"> Neither are feasible. However, where this technology is embraced in individual sectors, particularly market players, such as banks or insurers, trusted means of dispute resolution, such as arbitrations, are already well-established.</w:t>
      </w:r>
    </w:p>
    <w:p w:rsidR="0036264F" w:rsidRPr="00C56A69" w:rsidRDefault="0036264F" w:rsidP="00C56A69">
      <w:pPr>
        <w:rPr>
          <w:rFonts w:cs="Times New Roman"/>
        </w:rPr>
      </w:pPr>
      <w:r>
        <w:rPr>
          <w:rFonts w:cs="Times New Roman"/>
        </w:rPr>
        <w:t>Practical applications of smart contracts focus on their potential to reduce transaction costs. If legal obligations become self-executing, the need to resort to courts is going to be vastly reduced. This does not mean that there will be no disputes between those who continue to engage in highly sophisticated tr</w:t>
      </w:r>
      <w:r w:rsidR="00B431BD">
        <w:rPr>
          <w:rFonts w:cs="Times New Roman"/>
        </w:rPr>
        <w:t xml:space="preserve">ansactions; the </w:t>
      </w:r>
      <w:r>
        <w:rPr>
          <w:rFonts w:cs="Times New Roman"/>
        </w:rPr>
        <w:t xml:space="preserve">potential </w:t>
      </w:r>
      <w:r w:rsidR="00B431BD">
        <w:rPr>
          <w:rFonts w:cs="Times New Roman"/>
        </w:rPr>
        <w:t xml:space="preserve">of smart contract lies in the transformation of </w:t>
      </w:r>
      <w:r>
        <w:rPr>
          <w:rFonts w:cs="Times New Roman"/>
        </w:rPr>
        <w:t xml:space="preserve">the vast majority of commercial interactions </w:t>
      </w:r>
      <w:r w:rsidR="00B431BD">
        <w:rPr>
          <w:rFonts w:cs="Times New Roman"/>
        </w:rPr>
        <w:t xml:space="preserve">so as </w:t>
      </w:r>
      <w:r>
        <w:rPr>
          <w:rFonts w:cs="Times New Roman"/>
        </w:rPr>
        <w:t>to be virtually free of even the possibility of breach</w:t>
      </w:r>
      <w:r w:rsidR="000048B1">
        <w:rPr>
          <w:rFonts w:cs="Times New Roman"/>
        </w:rPr>
        <w:t>.</w:t>
      </w:r>
    </w:p>
    <w:p w:rsidR="00C24B4D" w:rsidRDefault="00DA5625" w:rsidP="00DA5625">
      <w:pPr>
        <w:jc w:val="center"/>
        <w:rPr>
          <w:i/>
        </w:rPr>
      </w:pPr>
      <w:r>
        <w:rPr>
          <w:i/>
        </w:rPr>
        <w:t>Conclusion</w:t>
      </w:r>
    </w:p>
    <w:p w:rsidR="00DA5625" w:rsidRPr="00DA5625" w:rsidRDefault="00876CC0" w:rsidP="00876CC0">
      <w:r>
        <w:t>Blockchain technology is already being embraced by a variety of large corporations, from Walmart to Maersk. For better or worse, the coming century will be shaped by the changes these innovations bring. Similarly, economies will only become more inter-connected so that harm can spread to large numbers of individuals who would have no means to vindicate their rights without collective redress mechanisms. Both of these developments to some extent undermine the traditional understanding of the common law process. None of this is diminishes its importance or, indeed, the importance of ensuring that the process is accessible to all by means of an effective system of legal aid. It is rather an acknowledgement that new ways need to be found, and are being found to achieve the same ends: maximise access to justice.</w:t>
      </w:r>
    </w:p>
    <w:p w:rsidR="00B65EB2" w:rsidRPr="002A7CC3" w:rsidRDefault="00B65EB2" w:rsidP="002A7CC3">
      <w:pPr>
        <w:spacing w:before="100" w:beforeAutospacing="1" w:after="100" w:afterAutospacing="1"/>
        <w:jc w:val="left"/>
        <w:outlineLvl w:val="1"/>
        <w:rPr>
          <w:rFonts w:eastAsia="Times New Roman" w:cs="Times New Roman"/>
          <w:i/>
          <w:color w:val="000000"/>
          <w:lang w:eastAsia="en-GB"/>
        </w:rPr>
      </w:pPr>
    </w:p>
    <w:p w:rsidR="00B65EB2" w:rsidRDefault="00B65EB2" w:rsidP="00B65EB2">
      <w:pPr>
        <w:spacing w:before="100" w:beforeAutospacing="1" w:after="100" w:afterAutospacing="1"/>
        <w:outlineLvl w:val="1"/>
        <w:rPr>
          <w:rFonts w:eastAsia="Times New Roman" w:cs="Times New Roman"/>
          <w:color w:val="000000"/>
          <w:lang w:eastAsia="en-GB"/>
        </w:rPr>
      </w:pPr>
    </w:p>
    <w:p w:rsidR="00B65EB2" w:rsidRDefault="00B65EB2" w:rsidP="00B65EB2">
      <w:pPr>
        <w:spacing w:before="100" w:beforeAutospacing="1" w:after="100" w:afterAutospacing="1"/>
        <w:outlineLvl w:val="1"/>
        <w:rPr>
          <w:rFonts w:eastAsia="Times New Roman" w:cs="Times New Roman"/>
          <w:color w:val="000000"/>
          <w:lang w:eastAsia="en-GB"/>
        </w:rPr>
      </w:pPr>
    </w:p>
    <w:p w:rsidR="00DF589E" w:rsidRDefault="00DF589E" w:rsidP="009D6B78">
      <w:pPr>
        <w:spacing w:before="100" w:beforeAutospacing="1" w:after="100" w:afterAutospacing="1"/>
        <w:outlineLvl w:val="1"/>
        <w:rPr>
          <w:rFonts w:eastAsia="Times New Roman" w:cs="Times New Roman"/>
          <w:color w:val="000000"/>
          <w:lang w:eastAsia="en-GB"/>
        </w:rPr>
      </w:pPr>
    </w:p>
    <w:p w:rsidR="00F934CA" w:rsidRDefault="00F934CA" w:rsidP="009D6B78">
      <w:pPr>
        <w:spacing w:before="100" w:beforeAutospacing="1" w:after="100" w:afterAutospacing="1"/>
        <w:outlineLvl w:val="1"/>
        <w:rPr>
          <w:rFonts w:eastAsia="Times New Roman" w:cs="Times New Roman"/>
          <w:color w:val="000000"/>
          <w:lang w:eastAsia="en-GB"/>
        </w:rPr>
      </w:pPr>
    </w:p>
    <w:p w:rsidR="00C20BF0" w:rsidRDefault="00C20BF0" w:rsidP="009D6B78">
      <w:pPr>
        <w:spacing w:before="100" w:beforeAutospacing="1" w:after="100" w:afterAutospacing="1"/>
        <w:outlineLvl w:val="1"/>
        <w:rPr>
          <w:rFonts w:eastAsia="Times New Roman" w:cs="Times New Roman"/>
          <w:color w:val="000000"/>
          <w:lang w:eastAsia="en-GB"/>
        </w:rPr>
      </w:pPr>
    </w:p>
    <w:p w:rsidR="00DF589E" w:rsidRPr="00DF589E" w:rsidRDefault="00DF589E" w:rsidP="009D6B78">
      <w:pPr>
        <w:spacing w:before="100" w:beforeAutospacing="1" w:after="100" w:afterAutospacing="1"/>
        <w:outlineLvl w:val="1"/>
        <w:rPr>
          <w:rFonts w:eastAsia="Times New Roman" w:cs="Times New Roman"/>
          <w:color w:val="000000"/>
          <w:lang w:eastAsia="en-GB"/>
        </w:rPr>
      </w:pPr>
    </w:p>
    <w:p w:rsidR="001A63D9" w:rsidRDefault="001A63D9" w:rsidP="009D6B78">
      <w:pPr>
        <w:spacing w:before="100" w:beforeAutospacing="1" w:after="100" w:afterAutospacing="1"/>
        <w:outlineLvl w:val="1"/>
        <w:rPr>
          <w:rFonts w:eastAsia="Times New Roman" w:cs="Times New Roman"/>
          <w:color w:val="000000"/>
          <w:lang w:eastAsia="en-GB"/>
        </w:rPr>
      </w:pPr>
    </w:p>
    <w:p w:rsidR="00FA2A11" w:rsidRDefault="00FA2A11" w:rsidP="009D6B78">
      <w:pPr>
        <w:spacing w:before="100" w:beforeAutospacing="1" w:after="100" w:afterAutospacing="1"/>
        <w:outlineLvl w:val="1"/>
        <w:rPr>
          <w:rFonts w:eastAsia="Times New Roman" w:cs="Times New Roman"/>
          <w:color w:val="000000"/>
          <w:lang w:eastAsia="en-GB"/>
        </w:rPr>
      </w:pPr>
    </w:p>
    <w:p w:rsidR="001A63D9" w:rsidRPr="001A63D9" w:rsidRDefault="001A63D9" w:rsidP="009D6B78">
      <w:pPr>
        <w:spacing w:before="100" w:beforeAutospacing="1" w:after="100" w:afterAutospacing="1"/>
        <w:outlineLvl w:val="1"/>
        <w:rPr>
          <w:rFonts w:eastAsia="Times New Roman" w:cs="Times New Roman"/>
          <w:color w:val="000000"/>
          <w:lang w:eastAsia="en-GB"/>
        </w:rPr>
      </w:pPr>
    </w:p>
    <w:p w:rsidR="00B36F4E" w:rsidRDefault="00B36F4E" w:rsidP="009D6B78">
      <w:pPr>
        <w:spacing w:before="100" w:beforeAutospacing="1" w:after="100" w:afterAutospacing="1"/>
        <w:outlineLvl w:val="1"/>
        <w:rPr>
          <w:rFonts w:eastAsia="Times New Roman" w:cs="Times New Roman"/>
          <w:color w:val="000000"/>
          <w:lang w:eastAsia="en-GB"/>
        </w:rPr>
      </w:pPr>
    </w:p>
    <w:p w:rsidR="00B36F4E" w:rsidRDefault="00B36F4E" w:rsidP="009D6B78">
      <w:pPr>
        <w:spacing w:before="100" w:beforeAutospacing="1" w:after="100" w:afterAutospacing="1"/>
        <w:outlineLvl w:val="1"/>
        <w:rPr>
          <w:rFonts w:eastAsia="Times New Roman" w:cs="Times New Roman"/>
          <w:color w:val="000000"/>
          <w:lang w:eastAsia="en-GB"/>
        </w:rPr>
      </w:pPr>
    </w:p>
    <w:p w:rsidR="00B36F4E" w:rsidRPr="00611FB1" w:rsidRDefault="00B36F4E" w:rsidP="009D6B78">
      <w:pPr>
        <w:spacing w:before="100" w:beforeAutospacing="1" w:after="100" w:afterAutospacing="1"/>
        <w:outlineLvl w:val="1"/>
        <w:rPr>
          <w:rFonts w:eastAsia="Times New Roman" w:cs="Times New Roman"/>
          <w:color w:val="000000"/>
          <w:lang w:eastAsia="en-GB"/>
        </w:rPr>
      </w:pPr>
    </w:p>
    <w:p w:rsidR="00611FB1" w:rsidRPr="00611FB1" w:rsidRDefault="00611FB1">
      <w:pPr>
        <w:spacing w:line="240" w:lineRule="auto"/>
        <w:rPr>
          <w:rFonts w:cs="Times New Roman"/>
        </w:rPr>
      </w:pPr>
      <w:r w:rsidRPr="00611FB1">
        <w:rPr>
          <w:rFonts w:cs="Times New Roman"/>
        </w:rPr>
        <w:br w:type="page"/>
      </w:r>
    </w:p>
    <w:p w:rsidR="00611FB1" w:rsidRDefault="00611FB1" w:rsidP="00611FB1">
      <w:pPr>
        <w:rPr>
          <w:rFonts w:cs="Times New Roman"/>
        </w:rPr>
      </w:pPr>
    </w:p>
    <w:p w:rsidR="00611FB1" w:rsidRPr="00611FB1" w:rsidRDefault="00611FB1" w:rsidP="00611FB1">
      <w:pPr>
        <w:jc w:val="left"/>
        <w:rPr>
          <w:rFonts w:cs="Times New Roman"/>
        </w:rPr>
      </w:pPr>
    </w:p>
    <w:p w:rsidR="00611FB1" w:rsidRPr="00611FB1" w:rsidRDefault="00611FB1">
      <w:pPr>
        <w:rPr>
          <w:rFonts w:cs="Times New Roman"/>
        </w:rPr>
      </w:pPr>
    </w:p>
    <w:sectPr w:rsidR="00611FB1" w:rsidRPr="00611FB1" w:rsidSect="002715F1">
      <w:footerReference w:type="even" r:id="rId7"/>
      <w:footerReference w:type="default" r:id="rId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643" w:rsidRDefault="00321643" w:rsidP="00611FB1">
      <w:pPr>
        <w:spacing w:after="0" w:line="240" w:lineRule="auto"/>
      </w:pPr>
      <w:r>
        <w:separator/>
      </w:r>
    </w:p>
  </w:endnote>
  <w:endnote w:type="continuationSeparator" w:id="0">
    <w:p w:rsidR="00321643" w:rsidRDefault="00321643" w:rsidP="00611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FB1" w:rsidRDefault="00CC1497" w:rsidP="007A533E">
    <w:pPr>
      <w:pStyle w:val="Footer"/>
      <w:framePr w:wrap="none" w:vAnchor="text" w:hAnchor="margin" w:xAlign="center" w:y="1"/>
      <w:rPr>
        <w:rStyle w:val="PageNumber"/>
      </w:rPr>
    </w:pPr>
    <w:r>
      <w:rPr>
        <w:rStyle w:val="PageNumber"/>
      </w:rPr>
      <w:fldChar w:fldCharType="begin"/>
    </w:r>
    <w:r w:rsidR="00611FB1">
      <w:rPr>
        <w:rStyle w:val="PageNumber"/>
      </w:rPr>
      <w:instrText xml:space="preserve">PAGE  </w:instrText>
    </w:r>
    <w:r>
      <w:rPr>
        <w:rStyle w:val="PageNumber"/>
      </w:rPr>
      <w:fldChar w:fldCharType="end"/>
    </w:r>
  </w:p>
  <w:p w:rsidR="00611FB1" w:rsidRDefault="00611F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FB1" w:rsidRPr="00611FB1" w:rsidRDefault="00CC1497" w:rsidP="007A533E">
    <w:pPr>
      <w:pStyle w:val="Footer"/>
      <w:framePr w:wrap="none" w:vAnchor="text" w:hAnchor="margin" w:xAlign="center" w:y="1"/>
      <w:rPr>
        <w:rStyle w:val="PageNumber"/>
      </w:rPr>
    </w:pPr>
    <w:r w:rsidRPr="00611FB1">
      <w:rPr>
        <w:rStyle w:val="PageNumber"/>
        <w:rFonts w:cs="Times New Roman"/>
      </w:rPr>
      <w:fldChar w:fldCharType="begin"/>
    </w:r>
    <w:r w:rsidR="00611FB1" w:rsidRPr="00611FB1">
      <w:rPr>
        <w:rStyle w:val="PageNumber"/>
        <w:rFonts w:cs="Times New Roman"/>
      </w:rPr>
      <w:instrText xml:space="preserve">PAGE  </w:instrText>
    </w:r>
    <w:r w:rsidRPr="00611FB1">
      <w:rPr>
        <w:rStyle w:val="PageNumber"/>
        <w:rFonts w:cs="Times New Roman"/>
      </w:rPr>
      <w:fldChar w:fldCharType="separate"/>
    </w:r>
    <w:r w:rsidR="00410938">
      <w:rPr>
        <w:rStyle w:val="PageNumber"/>
        <w:rFonts w:cs="Times New Roman"/>
        <w:noProof/>
      </w:rPr>
      <w:t>1</w:t>
    </w:r>
    <w:r w:rsidRPr="00611FB1">
      <w:rPr>
        <w:rStyle w:val="PageNumber"/>
        <w:rFonts w:cs="Times New Roman"/>
      </w:rPr>
      <w:fldChar w:fldCharType="end"/>
    </w:r>
  </w:p>
  <w:p w:rsidR="00611FB1" w:rsidRPr="00611FB1" w:rsidRDefault="00611FB1">
    <w:pPr>
      <w:pStyle w:val="Footer"/>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643" w:rsidRDefault="00321643" w:rsidP="00611FB1">
      <w:pPr>
        <w:spacing w:after="0" w:line="240" w:lineRule="auto"/>
      </w:pPr>
      <w:r>
        <w:separator/>
      </w:r>
    </w:p>
  </w:footnote>
  <w:footnote w:type="continuationSeparator" w:id="0">
    <w:p w:rsidR="00321643" w:rsidRDefault="00321643" w:rsidP="00611FB1">
      <w:pPr>
        <w:spacing w:after="0" w:line="240" w:lineRule="auto"/>
      </w:pPr>
      <w:r>
        <w:continuationSeparator/>
      </w:r>
    </w:p>
  </w:footnote>
  <w:footnote w:id="1">
    <w:p w:rsidR="006E0BCE" w:rsidRPr="0067505A" w:rsidRDefault="006E0BCE" w:rsidP="006E0BCE">
      <w:pPr>
        <w:pStyle w:val="FootnoteText"/>
        <w:rPr>
          <w:sz w:val="20"/>
          <w:szCs w:val="20"/>
        </w:rPr>
      </w:pPr>
      <w:r w:rsidRPr="0067505A">
        <w:rPr>
          <w:rStyle w:val="FootnoteReference"/>
          <w:sz w:val="20"/>
          <w:szCs w:val="20"/>
        </w:rPr>
        <w:footnoteRef/>
      </w:r>
      <w:r w:rsidRPr="0067505A">
        <w:rPr>
          <w:sz w:val="20"/>
          <w:szCs w:val="20"/>
        </w:rPr>
        <w:t xml:space="preserve"> </w:t>
      </w:r>
      <w:r w:rsidRPr="0067505A">
        <w:rPr>
          <w:i/>
          <w:iCs/>
          <w:sz w:val="20"/>
          <w:szCs w:val="20"/>
        </w:rPr>
        <w:t xml:space="preserve">Amchem Products Inc </w:t>
      </w:r>
      <w:r w:rsidRPr="0067505A">
        <w:rPr>
          <w:i/>
          <w:sz w:val="20"/>
          <w:szCs w:val="20"/>
        </w:rPr>
        <w:t>v</w:t>
      </w:r>
      <w:r w:rsidRPr="0067505A">
        <w:rPr>
          <w:sz w:val="20"/>
          <w:szCs w:val="20"/>
        </w:rPr>
        <w:t xml:space="preserve"> </w:t>
      </w:r>
      <w:r w:rsidRPr="0067505A">
        <w:rPr>
          <w:i/>
          <w:iCs/>
          <w:sz w:val="20"/>
          <w:szCs w:val="20"/>
        </w:rPr>
        <w:t>Windsor</w:t>
      </w:r>
      <w:r w:rsidR="00B431BD" w:rsidRPr="0067505A">
        <w:rPr>
          <w:i/>
          <w:iCs/>
          <w:sz w:val="20"/>
          <w:szCs w:val="20"/>
        </w:rPr>
        <w:t xml:space="preserve"> </w:t>
      </w:r>
      <w:r w:rsidR="00B431BD" w:rsidRPr="0067505A">
        <w:rPr>
          <w:iCs/>
          <w:sz w:val="20"/>
          <w:szCs w:val="20"/>
        </w:rPr>
        <w:t>(1997)</w:t>
      </w:r>
      <w:r w:rsidRPr="0067505A">
        <w:rPr>
          <w:i/>
          <w:iCs/>
          <w:sz w:val="20"/>
          <w:szCs w:val="20"/>
        </w:rPr>
        <w:t xml:space="preserve"> </w:t>
      </w:r>
      <w:r w:rsidRPr="0067505A">
        <w:rPr>
          <w:sz w:val="20"/>
          <w:szCs w:val="20"/>
        </w:rPr>
        <w:t xml:space="preserve">521 US 591, 617. </w:t>
      </w:r>
    </w:p>
  </w:footnote>
  <w:footnote w:id="2">
    <w:p w:rsidR="00B913B0" w:rsidRPr="0067505A" w:rsidRDefault="00B913B0" w:rsidP="00B913B0">
      <w:pPr>
        <w:pStyle w:val="FootnoteText"/>
        <w:rPr>
          <w:sz w:val="20"/>
          <w:szCs w:val="20"/>
        </w:rPr>
      </w:pPr>
      <w:r w:rsidRPr="0067505A">
        <w:rPr>
          <w:rStyle w:val="FootnoteReference"/>
          <w:sz w:val="20"/>
          <w:szCs w:val="20"/>
        </w:rPr>
        <w:footnoteRef/>
      </w:r>
      <w:r w:rsidRPr="0067505A">
        <w:rPr>
          <w:sz w:val="20"/>
          <w:szCs w:val="20"/>
        </w:rPr>
        <w:t xml:space="preserve"> Samuel Issacharoff and Geoffrey P Miller, ‘Will Aggregate Litigation Come to Europe?’ (2008) 62 Vanderbilt Law Review 179, 209.</w:t>
      </w:r>
    </w:p>
  </w:footnote>
  <w:footnote w:id="3">
    <w:p w:rsidR="0067505A" w:rsidRPr="0067505A" w:rsidRDefault="0067505A" w:rsidP="0067505A">
      <w:pPr>
        <w:pStyle w:val="FootnoteText"/>
        <w:rPr>
          <w:sz w:val="20"/>
          <w:szCs w:val="20"/>
        </w:rPr>
      </w:pPr>
      <w:r w:rsidRPr="0067505A">
        <w:rPr>
          <w:rStyle w:val="FootnoteReference"/>
          <w:sz w:val="20"/>
          <w:szCs w:val="20"/>
        </w:rPr>
        <w:footnoteRef/>
      </w:r>
      <w:r w:rsidRPr="0067505A">
        <w:rPr>
          <w:sz w:val="20"/>
          <w:szCs w:val="20"/>
        </w:rPr>
        <w:t xml:space="preserve"> ibid</w:t>
      </w:r>
      <w:r w:rsidRPr="0067505A">
        <w:rPr>
          <w:smallCaps/>
          <w:sz w:val="20"/>
          <w:szCs w:val="20"/>
        </w:rPr>
        <w:t xml:space="preserve"> 206.</w:t>
      </w:r>
    </w:p>
  </w:footnote>
  <w:footnote w:id="4">
    <w:p w:rsidR="0067505A" w:rsidRPr="0067505A" w:rsidRDefault="0067505A">
      <w:pPr>
        <w:pStyle w:val="FootnoteText"/>
        <w:rPr>
          <w:sz w:val="20"/>
          <w:szCs w:val="20"/>
        </w:rPr>
      </w:pPr>
      <w:r w:rsidRPr="0067505A">
        <w:rPr>
          <w:rStyle w:val="FootnoteReference"/>
          <w:sz w:val="20"/>
          <w:szCs w:val="20"/>
        </w:rPr>
        <w:footnoteRef/>
      </w:r>
      <w:r w:rsidRPr="0067505A">
        <w:rPr>
          <w:sz w:val="20"/>
          <w:szCs w:val="20"/>
        </w:rPr>
        <w:t xml:space="preserve"> </w:t>
      </w:r>
      <w:r w:rsidRPr="0067505A">
        <w:rPr>
          <w:i/>
          <w:sz w:val="20"/>
          <w:szCs w:val="20"/>
        </w:rPr>
        <w:t xml:space="preserve">Gibson v Pride Mobility Products Ltd </w:t>
      </w:r>
      <w:r w:rsidRPr="0067505A">
        <w:rPr>
          <w:sz w:val="20"/>
          <w:szCs w:val="20"/>
        </w:rPr>
        <w:t>[2017] CAT 9 [102].</w:t>
      </w:r>
    </w:p>
  </w:footnote>
  <w:footnote w:id="5">
    <w:p w:rsidR="0067505A" w:rsidRPr="0067505A" w:rsidRDefault="0067505A">
      <w:pPr>
        <w:pStyle w:val="FootnoteText"/>
        <w:rPr>
          <w:sz w:val="20"/>
          <w:szCs w:val="20"/>
        </w:rPr>
      </w:pPr>
      <w:r w:rsidRPr="0067505A">
        <w:rPr>
          <w:rStyle w:val="FootnoteReference"/>
          <w:sz w:val="20"/>
          <w:szCs w:val="20"/>
        </w:rPr>
        <w:footnoteRef/>
      </w:r>
      <w:r w:rsidRPr="0067505A">
        <w:rPr>
          <w:sz w:val="20"/>
          <w:szCs w:val="20"/>
        </w:rPr>
        <w:t xml:space="preserve"> </w:t>
      </w:r>
      <w:r w:rsidRPr="0067505A">
        <w:rPr>
          <w:i/>
          <w:sz w:val="20"/>
          <w:szCs w:val="20"/>
        </w:rPr>
        <w:t xml:space="preserve">Merricks v Mastercard Inc </w:t>
      </w:r>
      <w:r w:rsidRPr="0067505A">
        <w:rPr>
          <w:sz w:val="20"/>
          <w:szCs w:val="20"/>
        </w:rPr>
        <w:t>[2017] CAT 16 [57].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FB1"/>
    <w:rsid w:val="000048B1"/>
    <w:rsid w:val="000A12F2"/>
    <w:rsid w:val="001270C9"/>
    <w:rsid w:val="001A63D9"/>
    <w:rsid w:val="001C69F4"/>
    <w:rsid w:val="001F2457"/>
    <w:rsid w:val="002715F1"/>
    <w:rsid w:val="002A7CC3"/>
    <w:rsid w:val="00321643"/>
    <w:rsid w:val="0036264F"/>
    <w:rsid w:val="003F7ACB"/>
    <w:rsid w:val="00410938"/>
    <w:rsid w:val="004353A2"/>
    <w:rsid w:val="00464427"/>
    <w:rsid w:val="004B3658"/>
    <w:rsid w:val="004D7E66"/>
    <w:rsid w:val="005D1059"/>
    <w:rsid w:val="00611FB1"/>
    <w:rsid w:val="0067505A"/>
    <w:rsid w:val="006E0BCE"/>
    <w:rsid w:val="007D69BE"/>
    <w:rsid w:val="00876CC0"/>
    <w:rsid w:val="00994D66"/>
    <w:rsid w:val="009D52D5"/>
    <w:rsid w:val="009D6B78"/>
    <w:rsid w:val="00A008B3"/>
    <w:rsid w:val="00A02625"/>
    <w:rsid w:val="00B2624F"/>
    <w:rsid w:val="00B36F4E"/>
    <w:rsid w:val="00B431BD"/>
    <w:rsid w:val="00B65EB2"/>
    <w:rsid w:val="00B913B0"/>
    <w:rsid w:val="00C20BF0"/>
    <w:rsid w:val="00C24B4D"/>
    <w:rsid w:val="00C553E1"/>
    <w:rsid w:val="00C56A69"/>
    <w:rsid w:val="00C66B38"/>
    <w:rsid w:val="00CC1497"/>
    <w:rsid w:val="00DA5625"/>
    <w:rsid w:val="00DF589E"/>
    <w:rsid w:val="00E353CE"/>
    <w:rsid w:val="00E93038"/>
    <w:rsid w:val="00F14682"/>
    <w:rsid w:val="00F452B8"/>
    <w:rsid w:val="00F5729E"/>
    <w:rsid w:val="00F679A2"/>
    <w:rsid w:val="00F755F4"/>
    <w:rsid w:val="00F934CA"/>
    <w:rsid w:val="00FA2A1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958DBF-A120-4811-AE05-52A8B17AA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CC3"/>
    <w:pPr>
      <w:spacing w:after="240" w:line="360" w:lineRule="auto"/>
      <w:jc w:val="both"/>
    </w:pPr>
    <w:rPr>
      <w:rFonts w:ascii="Times New Roman" w:hAnsi="Times New Roman"/>
    </w:rPr>
  </w:style>
  <w:style w:type="paragraph" w:styleId="Heading1">
    <w:name w:val="heading 1"/>
    <w:basedOn w:val="Normal"/>
    <w:next w:val="Normal"/>
    <w:link w:val="Heading1Char"/>
    <w:uiPriority w:val="9"/>
    <w:qFormat/>
    <w:rsid w:val="002A7CC3"/>
    <w:pPr>
      <w:spacing w:after="0" w:line="480" w:lineRule="auto"/>
      <w:jc w:val="center"/>
      <w:outlineLvl w:val="0"/>
    </w:pPr>
    <w:rPr>
      <w:i/>
      <w:lang w:eastAsia="en-GB"/>
    </w:rPr>
  </w:style>
  <w:style w:type="paragraph" w:styleId="Heading2">
    <w:name w:val="heading 2"/>
    <w:basedOn w:val="Normal"/>
    <w:link w:val="Heading2Char"/>
    <w:uiPriority w:val="9"/>
    <w:qFormat/>
    <w:rsid w:val="00611FB1"/>
    <w:pPr>
      <w:spacing w:before="100" w:beforeAutospacing="1" w:after="100" w:afterAutospacing="1"/>
      <w:outlineLvl w:val="1"/>
    </w:pPr>
    <w:rPr>
      <w:rFonts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11FB1"/>
    <w:rPr>
      <w:rFonts w:ascii="Times New Roman" w:hAnsi="Times New Roman" w:cs="Times New Roman"/>
      <w:b/>
      <w:bCs/>
      <w:sz w:val="36"/>
      <w:szCs w:val="36"/>
      <w:lang w:eastAsia="en-GB"/>
    </w:rPr>
  </w:style>
  <w:style w:type="character" w:styleId="Strong">
    <w:name w:val="Strong"/>
    <w:basedOn w:val="DefaultParagraphFont"/>
    <w:uiPriority w:val="22"/>
    <w:qFormat/>
    <w:rsid w:val="00611FB1"/>
    <w:rPr>
      <w:b/>
      <w:bCs/>
    </w:rPr>
  </w:style>
  <w:style w:type="paragraph" w:styleId="Header">
    <w:name w:val="header"/>
    <w:basedOn w:val="Normal"/>
    <w:link w:val="HeaderChar"/>
    <w:uiPriority w:val="99"/>
    <w:unhideWhenUsed/>
    <w:rsid w:val="00611FB1"/>
    <w:pPr>
      <w:tabs>
        <w:tab w:val="center" w:pos="4513"/>
        <w:tab w:val="right" w:pos="9026"/>
      </w:tabs>
      <w:spacing w:line="240" w:lineRule="auto"/>
    </w:pPr>
  </w:style>
  <w:style w:type="character" w:customStyle="1" w:styleId="HeaderChar">
    <w:name w:val="Header Char"/>
    <w:basedOn w:val="DefaultParagraphFont"/>
    <w:link w:val="Header"/>
    <w:uiPriority w:val="99"/>
    <w:rsid w:val="00611FB1"/>
  </w:style>
  <w:style w:type="paragraph" w:styleId="Footer">
    <w:name w:val="footer"/>
    <w:basedOn w:val="Normal"/>
    <w:link w:val="FooterChar"/>
    <w:uiPriority w:val="99"/>
    <w:unhideWhenUsed/>
    <w:rsid w:val="00611FB1"/>
    <w:pPr>
      <w:tabs>
        <w:tab w:val="center" w:pos="4513"/>
        <w:tab w:val="right" w:pos="9026"/>
      </w:tabs>
      <w:spacing w:line="240" w:lineRule="auto"/>
    </w:pPr>
  </w:style>
  <w:style w:type="character" w:customStyle="1" w:styleId="FooterChar">
    <w:name w:val="Footer Char"/>
    <w:basedOn w:val="DefaultParagraphFont"/>
    <w:link w:val="Footer"/>
    <w:uiPriority w:val="99"/>
    <w:rsid w:val="00611FB1"/>
  </w:style>
  <w:style w:type="character" w:styleId="PageNumber">
    <w:name w:val="page number"/>
    <w:basedOn w:val="DefaultParagraphFont"/>
    <w:uiPriority w:val="99"/>
    <w:semiHidden/>
    <w:unhideWhenUsed/>
    <w:rsid w:val="00611FB1"/>
  </w:style>
  <w:style w:type="character" w:styleId="Hyperlink">
    <w:name w:val="Hyperlink"/>
    <w:basedOn w:val="DefaultParagraphFont"/>
    <w:uiPriority w:val="99"/>
    <w:unhideWhenUsed/>
    <w:rsid w:val="00611FB1"/>
    <w:rPr>
      <w:color w:val="0563C1" w:themeColor="hyperlink"/>
      <w:u w:val="single"/>
    </w:rPr>
  </w:style>
  <w:style w:type="paragraph" w:styleId="Quote">
    <w:name w:val="Quote"/>
    <w:basedOn w:val="Normal"/>
    <w:next w:val="Normal"/>
    <w:link w:val="QuoteChar"/>
    <w:uiPriority w:val="29"/>
    <w:qFormat/>
    <w:rsid w:val="00B2624F"/>
    <w:pPr>
      <w:spacing w:after="220"/>
      <w:ind w:left="360" w:right="360"/>
    </w:pPr>
    <w:rPr>
      <w:iCs/>
      <w:color w:val="404040" w:themeColor="text1" w:themeTint="BF"/>
    </w:rPr>
  </w:style>
  <w:style w:type="character" w:customStyle="1" w:styleId="QuoteChar">
    <w:name w:val="Quote Char"/>
    <w:basedOn w:val="DefaultParagraphFont"/>
    <w:link w:val="Quote"/>
    <w:uiPriority w:val="29"/>
    <w:rsid w:val="00B2624F"/>
    <w:rPr>
      <w:rFonts w:ascii="Times New Roman" w:hAnsi="Times New Roman"/>
      <w:iCs/>
      <w:color w:val="404040" w:themeColor="text1" w:themeTint="BF"/>
    </w:rPr>
  </w:style>
  <w:style w:type="character" w:customStyle="1" w:styleId="Heading1Char">
    <w:name w:val="Heading 1 Char"/>
    <w:basedOn w:val="DefaultParagraphFont"/>
    <w:link w:val="Heading1"/>
    <w:uiPriority w:val="9"/>
    <w:rsid w:val="002A7CC3"/>
    <w:rPr>
      <w:rFonts w:ascii="Times New Roman" w:hAnsi="Times New Roman"/>
      <w:i/>
      <w:lang w:eastAsia="en-GB"/>
    </w:rPr>
  </w:style>
  <w:style w:type="paragraph" w:styleId="FootnoteText">
    <w:name w:val="footnote text"/>
    <w:basedOn w:val="Normal"/>
    <w:link w:val="FootnoteTextChar"/>
    <w:uiPriority w:val="99"/>
    <w:unhideWhenUsed/>
    <w:qFormat/>
    <w:rsid w:val="006E0BCE"/>
    <w:pPr>
      <w:spacing w:after="0" w:line="240" w:lineRule="auto"/>
    </w:pPr>
  </w:style>
  <w:style w:type="character" w:customStyle="1" w:styleId="FootnoteTextChar">
    <w:name w:val="Footnote Text Char"/>
    <w:basedOn w:val="DefaultParagraphFont"/>
    <w:link w:val="FootnoteText"/>
    <w:uiPriority w:val="99"/>
    <w:rsid w:val="006E0BCE"/>
    <w:rPr>
      <w:rFonts w:ascii="Times New Roman" w:hAnsi="Times New Roman"/>
    </w:rPr>
  </w:style>
  <w:style w:type="character" w:styleId="FootnoteReference">
    <w:name w:val="footnote reference"/>
    <w:basedOn w:val="DefaultParagraphFont"/>
    <w:uiPriority w:val="99"/>
    <w:unhideWhenUsed/>
    <w:rsid w:val="006E0BCE"/>
    <w:rPr>
      <w:vertAlign w:val="superscript"/>
    </w:rPr>
  </w:style>
  <w:style w:type="paragraph" w:styleId="NoSpacing">
    <w:name w:val="No Spacing"/>
    <w:uiPriority w:val="1"/>
    <w:qFormat/>
    <w:rsid w:val="002A7CC3"/>
    <w:rPr>
      <w:rFonts w:ascii="Times New Roman" w:hAnsi="Times New Roman"/>
    </w:rPr>
  </w:style>
  <w:style w:type="paragraph" w:customStyle="1" w:styleId="2Paragraph">
    <w:name w:val="2 Paragraph"/>
    <w:basedOn w:val="Normal"/>
    <w:qFormat/>
    <w:rsid w:val="00F452B8"/>
    <w:pPr>
      <w:spacing w:after="0" w:line="480" w:lineRule="auto"/>
      <w:ind w:firstLine="284"/>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252038">
      <w:bodyDiv w:val="1"/>
      <w:marLeft w:val="0"/>
      <w:marRight w:val="0"/>
      <w:marTop w:val="0"/>
      <w:marBottom w:val="0"/>
      <w:divBdr>
        <w:top w:val="none" w:sz="0" w:space="0" w:color="auto"/>
        <w:left w:val="none" w:sz="0" w:space="0" w:color="auto"/>
        <w:bottom w:val="none" w:sz="0" w:space="0" w:color="auto"/>
        <w:right w:val="none" w:sz="0" w:space="0" w:color="auto"/>
      </w:divBdr>
    </w:div>
    <w:div w:id="858662552">
      <w:bodyDiv w:val="1"/>
      <w:marLeft w:val="0"/>
      <w:marRight w:val="0"/>
      <w:marTop w:val="0"/>
      <w:marBottom w:val="0"/>
      <w:divBdr>
        <w:top w:val="none" w:sz="0" w:space="0" w:color="auto"/>
        <w:left w:val="none" w:sz="0" w:space="0" w:color="auto"/>
        <w:bottom w:val="none" w:sz="0" w:space="0" w:color="auto"/>
        <w:right w:val="none" w:sz="0" w:space="0" w:color="auto"/>
      </w:divBdr>
    </w:div>
    <w:div w:id="8734946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07D5F80-8CCC-4DA2-9E73-2452127D0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2497</Words>
  <Characters>14239</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Hardwicke</Company>
  <LinksUpToDate>false</LinksUpToDate>
  <CharactersWithSpaces>16703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PG-Hain, Michal</dc:creator>
  <cp:keywords/>
  <dc:description/>
  <cp:lastModifiedBy>Colin West</cp:lastModifiedBy>
  <cp:revision>2</cp:revision>
  <cp:lastPrinted>2017-10-31T11:28:00Z</cp:lastPrinted>
  <dcterms:created xsi:type="dcterms:W3CDTF">2018-02-26T11:25:00Z</dcterms:created>
  <dcterms:modified xsi:type="dcterms:W3CDTF">2018-02-26T11:25:00Z</dcterms:modified>
</cp:coreProperties>
</file>