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79062" w14:textId="77777777" w:rsidR="000C79AF" w:rsidRDefault="000C79AF" w:rsidP="00677CDA">
      <w:pPr>
        <w:spacing w:after="360"/>
        <w:jc w:val="center"/>
        <w:rPr>
          <w:b/>
          <w:i/>
          <w:sz w:val="24"/>
          <w:szCs w:val="24"/>
        </w:rPr>
      </w:pPr>
    </w:p>
    <w:p w14:paraId="681D3362" w14:textId="77777777" w:rsidR="00ED0B55" w:rsidRDefault="00EE49C1" w:rsidP="00677CDA">
      <w:pPr>
        <w:spacing w:after="360"/>
        <w:jc w:val="center"/>
        <w:rPr>
          <w:b/>
          <w:i/>
          <w:sz w:val="24"/>
          <w:szCs w:val="24"/>
        </w:rPr>
      </w:pPr>
      <w:r w:rsidRPr="00E8281C">
        <w:rPr>
          <w:b/>
          <w:i/>
          <w:sz w:val="24"/>
          <w:szCs w:val="24"/>
        </w:rPr>
        <w:t xml:space="preserve"> </w:t>
      </w:r>
      <w:r w:rsidR="00976514" w:rsidRPr="00E8281C">
        <w:rPr>
          <w:b/>
          <w:i/>
          <w:sz w:val="24"/>
          <w:szCs w:val="24"/>
        </w:rPr>
        <w:t xml:space="preserve">“Are there any circumstances (and if so, what are they) in which the Court may refuse to give effect to contractual provisions on the ground of repugnancy? </w:t>
      </w:r>
    </w:p>
    <w:p w14:paraId="4ADDBB29" w14:textId="43491CF4" w:rsidR="00976514" w:rsidRPr="00E8281C" w:rsidRDefault="00976514" w:rsidP="00677CDA">
      <w:pPr>
        <w:spacing w:after="360"/>
        <w:jc w:val="center"/>
        <w:rPr>
          <w:b/>
          <w:i/>
          <w:sz w:val="24"/>
          <w:szCs w:val="24"/>
        </w:rPr>
      </w:pPr>
      <w:r w:rsidRPr="00E8281C">
        <w:rPr>
          <w:b/>
          <w:i/>
          <w:sz w:val="24"/>
          <w:szCs w:val="24"/>
        </w:rPr>
        <w:t>Should the Court have such a power?”</w:t>
      </w:r>
    </w:p>
    <w:p w14:paraId="7185CF1D" w14:textId="77777777" w:rsidR="000C79AF" w:rsidRPr="00911ACF" w:rsidRDefault="000C79AF" w:rsidP="00677CDA">
      <w:pPr>
        <w:spacing w:after="200"/>
        <w:rPr>
          <w:b/>
          <w:sz w:val="24"/>
          <w:szCs w:val="24"/>
        </w:rPr>
      </w:pPr>
    </w:p>
    <w:p w14:paraId="3761EE55" w14:textId="4DCCECCB" w:rsidR="00976514" w:rsidRPr="00911ACF" w:rsidRDefault="00E8281C" w:rsidP="00677CDA">
      <w:pPr>
        <w:spacing w:after="200"/>
        <w:rPr>
          <w:b/>
          <w:sz w:val="24"/>
          <w:szCs w:val="24"/>
          <w:u w:val="single"/>
          <w:lang w:val="en-GB"/>
        </w:rPr>
      </w:pPr>
      <w:r w:rsidRPr="00911ACF">
        <w:rPr>
          <w:b/>
          <w:sz w:val="24"/>
          <w:szCs w:val="24"/>
        </w:rPr>
        <w:t>Introduction</w:t>
      </w:r>
      <w:r w:rsidR="00911ACF" w:rsidRPr="00911ACF">
        <w:rPr>
          <w:b/>
          <w:sz w:val="24"/>
          <w:szCs w:val="24"/>
          <w:lang w:val="en-GB"/>
        </w:rPr>
        <w:t xml:space="preserve"> and Summary</w:t>
      </w:r>
    </w:p>
    <w:p w14:paraId="1BB3509C" w14:textId="14F60C29" w:rsidR="00976514" w:rsidRDefault="00976514" w:rsidP="00677CDA">
      <w:pPr>
        <w:spacing w:after="220"/>
        <w:jc w:val="both"/>
        <w:rPr>
          <w:sz w:val="24"/>
          <w:szCs w:val="24"/>
        </w:rPr>
      </w:pPr>
      <w:r w:rsidRPr="00E8281C">
        <w:rPr>
          <w:sz w:val="24"/>
          <w:szCs w:val="24"/>
        </w:rPr>
        <w:t xml:space="preserve">There are very few circumstances in which the Courts will refuse to give </w:t>
      </w:r>
      <w:r w:rsidR="007E5EB6">
        <w:rPr>
          <w:sz w:val="24"/>
          <w:szCs w:val="24"/>
        </w:rPr>
        <w:t>effect to a contractual provision</w:t>
      </w:r>
      <w:r w:rsidR="00AC451A" w:rsidRPr="00E8281C">
        <w:rPr>
          <w:sz w:val="24"/>
          <w:szCs w:val="24"/>
        </w:rPr>
        <w:t>,</w:t>
      </w:r>
      <w:r w:rsidR="007E5EB6">
        <w:rPr>
          <w:sz w:val="24"/>
          <w:szCs w:val="24"/>
        </w:rPr>
        <w:t xml:space="preserve"> having first </w:t>
      </w:r>
      <w:r w:rsidR="008E5A40">
        <w:rPr>
          <w:sz w:val="24"/>
          <w:szCs w:val="24"/>
          <w:lang w:val="en-GB"/>
        </w:rPr>
        <w:t xml:space="preserve">expressly </w:t>
      </w:r>
      <w:r w:rsidR="007E5EB6">
        <w:rPr>
          <w:sz w:val="24"/>
          <w:szCs w:val="24"/>
        </w:rPr>
        <w:t>labelled it</w:t>
      </w:r>
      <w:r w:rsidRPr="00E8281C">
        <w:rPr>
          <w:sz w:val="24"/>
          <w:szCs w:val="24"/>
        </w:rPr>
        <w:t xml:space="preserve"> as ‘repugnant’.</w:t>
      </w:r>
      <w:r w:rsidR="008953A3" w:rsidRPr="00E8281C">
        <w:rPr>
          <w:sz w:val="24"/>
          <w:szCs w:val="24"/>
        </w:rPr>
        <w:t xml:space="preserve"> </w:t>
      </w:r>
      <w:r w:rsidRPr="00E8281C">
        <w:rPr>
          <w:sz w:val="24"/>
          <w:szCs w:val="24"/>
        </w:rPr>
        <w:t>Thankfully</w:t>
      </w:r>
      <w:r w:rsidR="008E4907">
        <w:rPr>
          <w:sz w:val="24"/>
          <w:szCs w:val="24"/>
        </w:rPr>
        <w:t xml:space="preserve">, </w:t>
      </w:r>
      <w:r w:rsidR="00840AB4">
        <w:rPr>
          <w:sz w:val="24"/>
          <w:szCs w:val="24"/>
        </w:rPr>
        <w:t>given that this essay</w:t>
      </w:r>
      <w:r w:rsidRPr="00E8281C">
        <w:rPr>
          <w:sz w:val="24"/>
          <w:szCs w:val="24"/>
        </w:rPr>
        <w:t xml:space="preserve"> would otherwise be</w:t>
      </w:r>
      <w:r w:rsidR="008E4907">
        <w:rPr>
          <w:sz w:val="24"/>
          <w:szCs w:val="24"/>
        </w:rPr>
        <w:t xml:space="preserve"> rather brief,</w:t>
      </w:r>
      <w:r w:rsidR="00840AB4">
        <w:rPr>
          <w:sz w:val="24"/>
          <w:szCs w:val="24"/>
        </w:rPr>
        <w:t xml:space="preserve"> there are</w:t>
      </w:r>
      <w:r w:rsidR="00D23877">
        <w:rPr>
          <w:sz w:val="24"/>
          <w:szCs w:val="24"/>
          <w:lang w:val="en-GB"/>
        </w:rPr>
        <w:t xml:space="preserve"> however</w:t>
      </w:r>
      <w:r w:rsidRPr="00E8281C">
        <w:rPr>
          <w:sz w:val="24"/>
          <w:szCs w:val="24"/>
        </w:rPr>
        <w:t xml:space="preserve"> a </w:t>
      </w:r>
      <w:r w:rsidR="00BA7B98" w:rsidRPr="00E8281C">
        <w:rPr>
          <w:sz w:val="24"/>
          <w:szCs w:val="24"/>
        </w:rPr>
        <w:t>range</w:t>
      </w:r>
      <w:r w:rsidRPr="00E8281C">
        <w:rPr>
          <w:sz w:val="24"/>
          <w:szCs w:val="24"/>
        </w:rPr>
        <w:t xml:space="preserve"> of circu</w:t>
      </w:r>
      <w:r w:rsidR="00986DE0">
        <w:rPr>
          <w:sz w:val="24"/>
          <w:szCs w:val="24"/>
        </w:rPr>
        <w:t>mstances in which the Courts</w:t>
      </w:r>
      <w:r w:rsidRPr="00E8281C">
        <w:rPr>
          <w:sz w:val="24"/>
          <w:szCs w:val="24"/>
        </w:rPr>
        <w:t xml:space="preserve"> refuse to give effect to contractual provisions on what are</w:t>
      </w:r>
      <w:r w:rsidR="007B504C">
        <w:rPr>
          <w:sz w:val="24"/>
          <w:szCs w:val="24"/>
          <w:lang w:val="en-GB"/>
        </w:rPr>
        <w:t>,</w:t>
      </w:r>
      <w:r w:rsidRPr="00E8281C">
        <w:rPr>
          <w:sz w:val="24"/>
          <w:szCs w:val="24"/>
        </w:rPr>
        <w:t xml:space="preserve"> </w:t>
      </w:r>
      <w:r w:rsidRPr="006369F2">
        <w:rPr>
          <w:sz w:val="24"/>
          <w:szCs w:val="24"/>
        </w:rPr>
        <w:t>ess</w:t>
      </w:r>
      <w:r w:rsidR="0009102F" w:rsidRPr="006369F2">
        <w:rPr>
          <w:sz w:val="24"/>
          <w:szCs w:val="24"/>
        </w:rPr>
        <w:t>entially</w:t>
      </w:r>
      <w:r w:rsidR="007B504C">
        <w:rPr>
          <w:sz w:val="24"/>
          <w:szCs w:val="24"/>
          <w:lang w:val="en-GB"/>
        </w:rPr>
        <w:t>,</w:t>
      </w:r>
      <w:r w:rsidR="0009102F" w:rsidRPr="00E8281C">
        <w:rPr>
          <w:sz w:val="24"/>
          <w:szCs w:val="24"/>
        </w:rPr>
        <w:t xml:space="preserve"> grounds of repugnancy. </w:t>
      </w:r>
    </w:p>
    <w:p w14:paraId="5193600C" w14:textId="4288E486" w:rsidR="00D27036" w:rsidRDefault="00E8281C" w:rsidP="00677CDA">
      <w:pPr>
        <w:spacing w:after="220"/>
        <w:jc w:val="both"/>
        <w:rPr>
          <w:sz w:val="24"/>
          <w:szCs w:val="24"/>
          <w:lang w:val="en-GB"/>
        </w:rPr>
      </w:pPr>
      <w:r>
        <w:rPr>
          <w:sz w:val="24"/>
          <w:szCs w:val="24"/>
        </w:rPr>
        <w:t xml:space="preserve">This essay begins by </w:t>
      </w:r>
      <w:r w:rsidR="0000297D">
        <w:rPr>
          <w:sz w:val="24"/>
          <w:szCs w:val="24"/>
        </w:rPr>
        <w:t xml:space="preserve">defining what </w:t>
      </w:r>
      <w:r w:rsidR="00E52B17">
        <w:rPr>
          <w:sz w:val="24"/>
          <w:szCs w:val="24"/>
        </w:rPr>
        <w:t>is meant by the term ‘repugnant</w:t>
      </w:r>
      <w:r w:rsidR="00F1750A">
        <w:rPr>
          <w:sz w:val="24"/>
          <w:szCs w:val="24"/>
          <w:lang w:val="en-GB"/>
        </w:rPr>
        <w:t>’.</w:t>
      </w:r>
      <w:r w:rsidR="00826963">
        <w:rPr>
          <w:sz w:val="24"/>
          <w:szCs w:val="24"/>
        </w:rPr>
        <w:t xml:space="preserve"> It then answers</w:t>
      </w:r>
      <w:r w:rsidR="00D27036">
        <w:rPr>
          <w:sz w:val="24"/>
          <w:szCs w:val="24"/>
          <w:lang w:val="en-GB"/>
        </w:rPr>
        <w:t xml:space="preserve"> the first of the two questions posed above, by outlining</w:t>
      </w:r>
      <w:r w:rsidR="00E312A3">
        <w:rPr>
          <w:sz w:val="24"/>
          <w:szCs w:val="24"/>
          <w:lang w:val="en-GB"/>
        </w:rPr>
        <w:t xml:space="preserve"> the circumstances in which the Courts may </w:t>
      </w:r>
      <w:r w:rsidR="00D27036">
        <w:rPr>
          <w:sz w:val="24"/>
          <w:szCs w:val="24"/>
          <w:lang w:val="en-GB"/>
        </w:rPr>
        <w:t>refuse to give effect to contractual provisions on what are</w:t>
      </w:r>
      <w:r w:rsidR="007B504C">
        <w:rPr>
          <w:sz w:val="24"/>
          <w:szCs w:val="24"/>
          <w:lang w:val="en-GB"/>
        </w:rPr>
        <w:t>,</w:t>
      </w:r>
      <w:r w:rsidR="00D27036">
        <w:rPr>
          <w:sz w:val="24"/>
          <w:szCs w:val="24"/>
          <w:lang w:val="en-GB"/>
        </w:rPr>
        <w:t xml:space="preserve"> essentially</w:t>
      </w:r>
      <w:r w:rsidR="007B504C">
        <w:rPr>
          <w:sz w:val="24"/>
          <w:szCs w:val="24"/>
          <w:lang w:val="en-GB"/>
        </w:rPr>
        <w:t>,</w:t>
      </w:r>
      <w:r w:rsidR="00D27036">
        <w:rPr>
          <w:sz w:val="24"/>
          <w:szCs w:val="24"/>
          <w:lang w:val="en-GB"/>
        </w:rPr>
        <w:t xml:space="preserve"> grounds of repugnancy. </w:t>
      </w:r>
    </w:p>
    <w:p w14:paraId="575D0A9D" w14:textId="21DEE1D7" w:rsidR="00911ACF" w:rsidRDefault="00840AB4" w:rsidP="00677CDA">
      <w:pPr>
        <w:spacing w:after="220"/>
        <w:jc w:val="both"/>
        <w:rPr>
          <w:sz w:val="24"/>
          <w:szCs w:val="24"/>
          <w:lang w:val="en-GB"/>
        </w:rPr>
      </w:pPr>
      <w:r>
        <w:rPr>
          <w:sz w:val="24"/>
          <w:szCs w:val="24"/>
          <w:lang w:val="en-GB"/>
        </w:rPr>
        <w:t>Next, it</w:t>
      </w:r>
      <w:r w:rsidR="00D27036">
        <w:rPr>
          <w:sz w:val="24"/>
          <w:szCs w:val="24"/>
          <w:lang w:val="en-GB"/>
        </w:rPr>
        <w:t xml:space="preserve"> turns to </w:t>
      </w:r>
      <w:r>
        <w:rPr>
          <w:sz w:val="24"/>
          <w:szCs w:val="24"/>
          <w:lang w:val="en-GB"/>
        </w:rPr>
        <w:t>the second question, in doing so highlighting</w:t>
      </w:r>
      <w:r w:rsidR="007B504C">
        <w:rPr>
          <w:sz w:val="24"/>
          <w:szCs w:val="24"/>
          <w:lang w:val="en-GB"/>
        </w:rPr>
        <w:t xml:space="preserve"> that that</w:t>
      </w:r>
      <w:r w:rsidR="0036055F">
        <w:rPr>
          <w:sz w:val="24"/>
          <w:szCs w:val="24"/>
          <w:lang w:val="en-GB"/>
        </w:rPr>
        <w:t xml:space="preserve"> question</w:t>
      </w:r>
      <w:r w:rsidR="00826963">
        <w:rPr>
          <w:sz w:val="24"/>
          <w:szCs w:val="24"/>
          <w:lang w:val="en-GB"/>
        </w:rPr>
        <w:t xml:space="preserve"> demands consideration of</w:t>
      </w:r>
      <w:r w:rsidR="0036055F">
        <w:rPr>
          <w:sz w:val="24"/>
          <w:szCs w:val="24"/>
          <w:lang w:val="en-GB"/>
        </w:rPr>
        <w:t xml:space="preserve"> the</w:t>
      </w:r>
      <w:r w:rsidR="00030A6E">
        <w:rPr>
          <w:sz w:val="24"/>
          <w:szCs w:val="24"/>
          <w:lang w:val="en-GB"/>
        </w:rPr>
        <w:t xml:space="preserve"> nature of the</w:t>
      </w:r>
      <w:r w:rsidR="0036055F">
        <w:rPr>
          <w:sz w:val="24"/>
          <w:szCs w:val="24"/>
          <w:lang w:val="en-GB"/>
        </w:rPr>
        <w:t xml:space="preserve"> Court’s proper role in </w:t>
      </w:r>
      <w:r w:rsidR="00030A6E">
        <w:rPr>
          <w:sz w:val="24"/>
          <w:szCs w:val="24"/>
          <w:lang w:val="en-GB"/>
        </w:rPr>
        <w:t xml:space="preserve">dealing with </w:t>
      </w:r>
      <w:r w:rsidR="0036055F">
        <w:rPr>
          <w:sz w:val="24"/>
          <w:szCs w:val="24"/>
          <w:lang w:val="en-GB"/>
        </w:rPr>
        <w:t xml:space="preserve">contractual disputes. </w:t>
      </w:r>
      <w:r w:rsidR="00ED0B55">
        <w:rPr>
          <w:sz w:val="24"/>
          <w:szCs w:val="24"/>
        </w:rPr>
        <w:t>Having</w:t>
      </w:r>
      <w:r w:rsidR="00917F62">
        <w:rPr>
          <w:sz w:val="24"/>
          <w:szCs w:val="24"/>
          <w:lang w:val="en-GB"/>
        </w:rPr>
        <w:t xml:space="preserve"> </w:t>
      </w:r>
      <w:r w:rsidR="0036055F">
        <w:rPr>
          <w:sz w:val="24"/>
          <w:szCs w:val="24"/>
          <w:lang w:val="en-GB"/>
        </w:rPr>
        <w:t xml:space="preserve">briefly </w:t>
      </w:r>
      <w:r w:rsidR="00917F62">
        <w:rPr>
          <w:sz w:val="24"/>
          <w:szCs w:val="24"/>
          <w:lang w:val="en-GB"/>
        </w:rPr>
        <w:t>outlined the historical development of legal theory on that issue</w:t>
      </w:r>
      <w:r w:rsidR="005F00B2">
        <w:rPr>
          <w:sz w:val="24"/>
          <w:szCs w:val="24"/>
          <w:lang w:val="en-GB"/>
        </w:rPr>
        <w:t>,</w:t>
      </w:r>
      <w:r w:rsidR="001B692A">
        <w:rPr>
          <w:sz w:val="24"/>
          <w:szCs w:val="24"/>
          <w:lang w:val="en-GB"/>
        </w:rPr>
        <w:t xml:space="preserve"> it offers</w:t>
      </w:r>
      <w:r w:rsidR="00917F62">
        <w:rPr>
          <w:sz w:val="24"/>
          <w:szCs w:val="24"/>
          <w:lang w:val="en-GB"/>
        </w:rPr>
        <w:t xml:space="preserve"> </w:t>
      </w:r>
      <w:r w:rsidR="009C3BA4">
        <w:rPr>
          <w:sz w:val="24"/>
          <w:szCs w:val="24"/>
          <w:lang w:val="en-GB"/>
        </w:rPr>
        <w:t xml:space="preserve">its own conclusions against </w:t>
      </w:r>
      <w:r w:rsidR="00030A6E">
        <w:rPr>
          <w:sz w:val="24"/>
          <w:szCs w:val="24"/>
          <w:lang w:val="en-GB"/>
        </w:rPr>
        <w:t>the relevant</w:t>
      </w:r>
      <w:r w:rsidR="00911ACF">
        <w:rPr>
          <w:sz w:val="24"/>
          <w:szCs w:val="24"/>
          <w:lang w:val="en-GB"/>
        </w:rPr>
        <w:t xml:space="preserve"> historical</w:t>
      </w:r>
      <w:r w:rsidR="009C3BA4">
        <w:rPr>
          <w:sz w:val="24"/>
          <w:szCs w:val="24"/>
          <w:lang w:val="en-GB"/>
        </w:rPr>
        <w:t xml:space="preserve"> backdrop</w:t>
      </w:r>
      <w:r w:rsidR="001B692A">
        <w:rPr>
          <w:sz w:val="24"/>
          <w:szCs w:val="24"/>
          <w:lang w:val="en-GB"/>
        </w:rPr>
        <w:t>.</w:t>
      </w:r>
    </w:p>
    <w:p w14:paraId="432660A3" w14:textId="4D458FBA" w:rsidR="00421424" w:rsidRDefault="00911ACF" w:rsidP="00677CDA">
      <w:pPr>
        <w:spacing w:after="220"/>
        <w:jc w:val="both"/>
        <w:rPr>
          <w:sz w:val="24"/>
          <w:szCs w:val="24"/>
          <w:lang w:val="en-GB"/>
        </w:rPr>
      </w:pPr>
      <w:r>
        <w:rPr>
          <w:sz w:val="24"/>
          <w:szCs w:val="24"/>
          <w:lang w:val="en-GB"/>
        </w:rPr>
        <w:t>Ultimately, this essay</w:t>
      </w:r>
      <w:r w:rsidR="004617B9">
        <w:rPr>
          <w:sz w:val="24"/>
          <w:szCs w:val="24"/>
          <w:lang w:val="en-GB"/>
        </w:rPr>
        <w:t xml:space="preserve"> concludes that</w:t>
      </w:r>
      <w:r w:rsidR="0063665A">
        <w:rPr>
          <w:sz w:val="24"/>
          <w:szCs w:val="24"/>
          <w:lang w:val="en-GB"/>
        </w:rPr>
        <w:t xml:space="preserve"> t</w:t>
      </w:r>
      <w:r w:rsidR="005F00B2" w:rsidRPr="0063665A">
        <w:rPr>
          <w:sz w:val="24"/>
          <w:szCs w:val="24"/>
          <w:lang w:val="en-GB"/>
        </w:rPr>
        <w:t>he Courts are</w:t>
      </w:r>
      <w:r w:rsidR="008E4907">
        <w:rPr>
          <w:sz w:val="24"/>
          <w:szCs w:val="24"/>
          <w:lang w:val="en-GB"/>
        </w:rPr>
        <w:t>,</w:t>
      </w:r>
      <w:r w:rsidR="005F00B2" w:rsidRPr="0063665A">
        <w:rPr>
          <w:sz w:val="24"/>
          <w:szCs w:val="24"/>
          <w:lang w:val="en-GB"/>
        </w:rPr>
        <w:t xml:space="preserve"> rightly</w:t>
      </w:r>
      <w:r w:rsidR="008E4907">
        <w:rPr>
          <w:sz w:val="24"/>
          <w:szCs w:val="24"/>
          <w:lang w:val="en-GB"/>
        </w:rPr>
        <w:t>,</w:t>
      </w:r>
      <w:r w:rsidR="005F00B2" w:rsidRPr="0063665A">
        <w:rPr>
          <w:sz w:val="24"/>
          <w:szCs w:val="24"/>
          <w:lang w:val="en-GB"/>
        </w:rPr>
        <w:t xml:space="preserve"> empowered to strike down contractual provisions on the grounds of repugnancy where</w:t>
      </w:r>
      <w:r w:rsidR="00030A6E" w:rsidRPr="0063665A">
        <w:rPr>
          <w:sz w:val="24"/>
          <w:szCs w:val="24"/>
          <w:lang w:val="en-GB"/>
        </w:rPr>
        <w:t xml:space="preserve"> the repugn</w:t>
      </w:r>
      <w:r w:rsidR="0063665A">
        <w:rPr>
          <w:sz w:val="24"/>
          <w:szCs w:val="24"/>
          <w:lang w:val="en-GB"/>
        </w:rPr>
        <w:t>ancy in question arises out of</w:t>
      </w:r>
      <w:r w:rsidR="00421424">
        <w:rPr>
          <w:sz w:val="24"/>
          <w:szCs w:val="24"/>
          <w:lang w:val="en-GB"/>
        </w:rPr>
        <w:t>:</w:t>
      </w:r>
    </w:p>
    <w:p w14:paraId="57FFCB57" w14:textId="432904FE" w:rsidR="00421424" w:rsidRDefault="00421424" w:rsidP="00677CDA">
      <w:pPr>
        <w:pStyle w:val="ListParagraph"/>
        <w:numPr>
          <w:ilvl w:val="0"/>
          <w:numId w:val="15"/>
        </w:numPr>
        <w:spacing w:after="220"/>
        <w:rPr>
          <w:sz w:val="24"/>
          <w:szCs w:val="24"/>
          <w:lang w:val="en-GB"/>
        </w:rPr>
      </w:pPr>
      <w:r>
        <w:rPr>
          <w:sz w:val="24"/>
          <w:szCs w:val="24"/>
          <w:lang w:val="en-GB"/>
        </w:rPr>
        <w:t xml:space="preserve"> I</w:t>
      </w:r>
      <w:r w:rsidR="00030A6E" w:rsidRPr="00421424">
        <w:rPr>
          <w:sz w:val="24"/>
          <w:szCs w:val="24"/>
          <w:lang w:val="en-GB"/>
        </w:rPr>
        <w:t>llegality</w:t>
      </w:r>
      <w:r>
        <w:rPr>
          <w:sz w:val="24"/>
          <w:szCs w:val="24"/>
          <w:lang w:val="en-GB"/>
        </w:rPr>
        <w:t>;</w:t>
      </w:r>
    </w:p>
    <w:p w14:paraId="03020EEC" w14:textId="32996E4B" w:rsidR="00A55B2A" w:rsidRDefault="00421424" w:rsidP="00677CDA">
      <w:pPr>
        <w:pStyle w:val="ListParagraph"/>
        <w:numPr>
          <w:ilvl w:val="0"/>
          <w:numId w:val="15"/>
        </w:numPr>
        <w:spacing w:after="220"/>
        <w:rPr>
          <w:sz w:val="24"/>
          <w:szCs w:val="24"/>
          <w:lang w:val="en-GB"/>
        </w:rPr>
      </w:pPr>
      <w:r>
        <w:rPr>
          <w:sz w:val="24"/>
          <w:szCs w:val="24"/>
          <w:lang w:val="en-GB"/>
        </w:rPr>
        <w:t>I</w:t>
      </w:r>
      <w:r w:rsidR="00BB0C01" w:rsidRPr="00421424">
        <w:rPr>
          <w:sz w:val="24"/>
          <w:szCs w:val="24"/>
          <w:lang w:val="en-GB"/>
        </w:rPr>
        <w:t xml:space="preserve">nternal </w:t>
      </w:r>
      <w:r w:rsidR="000D6BA7" w:rsidRPr="00421424">
        <w:rPr>
          <w:sz w:val="24"/>
          <w:szCs w:val="24"/>
          <w:lang w:val="en-GB"/>
        </w:rPr>
        <w:t>inconsistency</w:t>
      </w:r>
      <w:r w:rsidR="00BB0C01" w:rsidRPr="00421424">
        <w:rPr>
          <w:sz w:val="24"/>
          <w:szCs w:val="24"/>
          <w:lang w:val="en-GB"/>
        </w:rPr>
        <w:t xml:space="preserve"> within the body of a </w:t>
      </w:r>
      <w:r w:rsidR="005E4ED5" w:rsidRPr="00421424">
        <w:rPr>
          <w:sz w:val="24"/>
          <w:szCs w:val="24"/>
          <w:lang w:val="en-GB"/>
        </w:rPr>
        <w:t>contract</w:t>
      </w:r>
      <w:r>
        <w:rPr>
          <w:sz w:val="24"/>
          <w:szCs w:val="24"/>
          <w:lang w:val="en-GB"/>
        </w:rPr>
        <w:t>; or</w:t>
      </w:r>
    </w:p>
    <w:p w14:paraId="7D241EDC" w14:textId="77777777" w:rsidR="00421424" w:rsidRDefault="00421424" w:rsidP="00677CDA">
      <w:pPr>
        <w:spacing w:after="220"/>
        <w:jc w:val="both"/>
        <w:rPr>
          <w:sz w:val="24"/>
          <w:szCs w:val="24"/>
          <w:lang w:val="en-GB"/>
        </w:rPr>
      </w:pPr>
    </w:p>
    <w:p w14:paraId="1FC9007B" w14:textId="56EBC4DF" w:rsidR="00421424" w:rsidRPr="00421424" w:rsidRDefault="00421424" w:rsidP="00677CDA">
      <w:pPr>
        <w:pStyle w:val="ListParagraph"/>
        <w:numPr>
          <w:ilvl w:val="0"/>
          <w:numId w:val="15"/>
        </w:numPr>
        <w:spacing w:after="220"/>
        <w:rPr>
          <w:sz w:val="24"/>
          <w:szCs w:val="24"/>
          <w:lang w:val="en-GB"/>
        </w:rPr>
      </w:pPr>
      <w:r>
        <w:rPr>
          <w:sz w:val="24"/>
          <w:szCs w:val="24"/>
          <w:lang w:val="en-GB"/>
        </w:rPr>
        <w:lastRenderedPageBreak/>
        <w:t>One</w:t>
      </w:r>
      <w:r w:rsidRPr="00421424">
        <w:rPr>
          <w:sz w:val="24"/>
          <w:szCs w:val="24"/>
          <w:lang w:val="en-GB"/>
        </w:rPr>
        <w:t xml:space="preserve"> party tak</w:t>
      </w:r>
      <w:r>
        <w:rPr>
          <w:sz w:val="24"/>
          <w:szCs w:val="24"/>
          <w:lang w:val="en-GB"/>
        </w:rPr>
        <w:t>ing unfair advantage of another</w:t>
      </w:r>
      <w:r w:rsidR="005544B5">
        <w:rPr>
          <w:sz w:val="24"/>
          <w:szCs w:val="24"/>
          <w:lang w:val="en-GB"/>
        </w:rPr>
        <w:t>,</w:t>
      </w:r>
      <w:r>
        <w:rPr>
          <w:sz w:val="24"/>
          <w:szCs w:val="24"/>
          <w:lang w:val="en-GB"/>
        </w:rPr>
        <w:t xml:space="preserve"> as a result of</w:t>
      </w:r>
      <w:r w:rsidR="00142458">
        <w:rPr>
          <w:sz w:val="24"/>
          <w:szCs w:val="24"/>
          <w:lang w:val="en-GB"/>
        </w:rPr>
        <w:t xml:space="preserve"> an</w:t>
      </w:r>
      <w:r>
        <w:rPr>
          <w:sz w:val="24"/>
          <w:szCs w:val="24"/>
          <w:lang w:val="en-GB"/>
        </w:rPr>
        <w:t xml:space="preserve"> inequality of bargaining power</w:t>
      </w:r>
    </w:p>
    <w:p w14:paraId="4920E247" w14:textId="01033154" w:rsidR="005541BB" w:rsidRPr="005541BB" w:rsidRDefault="00A55B2A" w:rsidP="00677CDA">
      <w:pPr>
        <w:pStyle w:val="ListParagraph"/>
        <w:numPr>
          <w:ilvl w:val="0"/>
          <w:numId w:val="0"/>
        </w:numPr>
        <w:spacing w:after="220"/>
        <w:ind w:left="720"/>
        <w:rPr>
          <w:sz w:val="24"/>
          <w:szCs w:val="24"/>
        </w:rPr>
      </w:pPr>
      <w:r>
        <w:rPr>
          <w:sz w:val="24"/>
          <w:szCs w:val="24"/>
          <w:lang w:val="en-GB"/>
        </w:rPr>
        <w:t xml:space="preserve"> </w:t>
      </w:r>
    </w:p>
    <w:p w14:paraId="16C28FBB" w14:textId="51128FDD" w:rsidR="00E8281C" w:rsidRPr="00E8281C" w:rsidRDefault="000C79AF" w:rsidP="00677CDA">
      <w:pPr>
        <w:spacing w:after="220"/>
        <w:jc w:val="both"/>
        <w:rPr>
          <w:b/>
          <w:sz w:val="24"/>
          <w:szCs w:val="24"/>
        </w:rPr>
      </w:pPr>
      <w:r>
        <w:rPr>
          <w:b/>
          <w:sz w:val="24"/>
          <w:szCs w:val="24"/>
        </w:rPr>
        <w:t>Two definitions of ‘r</w:t>
      </w:r>
      <w:r w:rsidR="00E8281C">
        <w:rPr>
          <w:b/>
          <w:sz w:val="24"/>
          <w:szCs w:val="24"/>
        </w:rPr>
        <w:t>epugnancy’</w:t>
      </w:r>
    </w:p>
    <w:p w14:paraId="211CF6D9" w14:textId="77777777" w:rsidR="00D059A6" w:rsidRDefault="00976514" w:rsidP="00677CDA">
      <w:pPr>
        <w:spacing w:after="220"/>
        <w:jc w:val="both"/>
        <w:rPr>
          <w:sz w:val="24"/>
          <w:szCs w:val="24"/>
        </w:rPr>
      </w:pPr>
      <w:r w:rsidRPr="00E8281C">
        <w:rPr>
          <w:sz w:val="24"/>
          <w:szCs w:val="24"/>
        </w:rPr>
        <w:t>The Oxford English Dictionary offers up two definitions of the word ‘repug</w:t>
      </w:r>
      <w:r w:rsidR="006369F2">
        <w:rPr>
          <w:sz w:val="24"/>
          <w:szCs w:val="24"/>
        </w:rPr>
        <w:t>nant’ that are of relevance for present purposes</w:t>
      </w:r>
      <w:r w:rsidR="00D059A6">
        <w:rPr>
          <w:sz w:val="24"/>
          <w:szCs w:val="24"/>
        </w:rPr>
        <w:t>:</w:t>
      </w:r>
    </w:p>
    <w:p w14:paraId="554837D1" w14:textId="77777777" w:rsidR="00D059A6" w:rsidRDefault="00976514" w:rsidP="00677CDA">
      <w:pPr>
        <w:pStyle w:val="ListParagraph"/>
        <w:numPr>
          <w:ilvl w:val="0"/>
          <w:numId w:val="9"/>
        </w:numPr>
        <w:spacing w:after="220"/>
        <w:rPr>
          <w:sz w:val="24"/>
          <w:szCs w:val="24"/>
          <w:lang w:val="en-GB"/>
        </w:rPr>
      </w:pPr>
      <w:r w:rsidRPr="00D059A6">
        <w:rPr>
          <w:sz w:val="24"/>
          <w:szCs w:val="24"/>
        </w:rPr>
        <w:t xml:space="preserve">The first definition treats something as repugnant if it is contrary or contradictory to (or, put another way, inconsistent or incompatible with) something else. </w:t>
      </w:r>
    </w:p>
    <w:p w14:paraId="59EE8B25" w14:textId="4E9237B3" w:rsidR="00310FA2" w:rsidRDefault="00976514" w:rsidP="00677CDA">
      <w:pPr>
        <w:pStyle w:val="ListParagraph"/>
        <w:numPr>
          <w:ilvl w:val="0"/>
          <w:numId w:val="9"/>
        </w:numPr>
        <w:spacing w:after="220"/>
        <w:rPr>
          <w:sz w:val="24"/>
          <w:szCs w:val="24"/>
          <w:lang w:val="en-GB"/>
        </w:rPr>
      </w:pPr>
      <w:r w:rsidRPr="00D059A6">
        <w:rPr>
          <w:sz w:val="24"/>
          <w:szCs w:val="24"/>
        </w:rPr>
        <w:t>The second definition treats something as repugnant if it is distasteful, objectionable, offensive or repulsive to something</w:t>
      </w:r>
      <w:r w:rsidR="00DF4D0E" w:rsidRPr="00D059A6">
        <w:rPr>
          <w:sz w:val="24"/>
          <w:szCs w:val="24"/>
        </w:rPr>
        <w:t xml:space="preserve"> (or someone)</w:t>
      </w:r>
      <w:r w:rsidRPr="00D059A6">
        <w:rPr>
          <w:sz w:val="24"/>
          <w:szCs w:val="24"/>
        </w:rPr>
        <w:t xml:space="preserve"> else. </w:t>
      </w:r>
    </w:p>
    <w:p w14:paraId="774DA04D" w14:textId="77777777" w:rsidR="006E2DD9" w:rsidRDefault="006E2DD9" w:rsidP="00677CDA">
      <w:pPr>
        <w:pStyle w:val="ListParagraph"/>
        <w:numPr>
          <w:ilvl w:val="0"/>
          <w:numId w:val="0"/>
        </w:numPr>
        <w:spacing w:after="220"/>
        <w:ind w:left="778"/>
        <w:rPr>
          <w:sz w:val="24"/>
          <w:szCs w:val="24"/>
          <w:lang w:val="en-GB"/>
        </w:rPr>
      </w:pPr>
    </w:p>
    <w:p w14:paraId="3BA4B66A" w14:textId="6277E6C8" w:rsidR="005E7E28" w:rsidRPr="005E7E28" w:rsidRDefault="005E7E28" w:rsidP="00750666">
      <w:pPr>
        <w:spacing w:after="220"/>
        <w:rPr>
          <w:b/>
          <w:sz w:val="24"/>
          <w:szCs w:val="24"/>
          <w:lang w:val="en-GB"/>
        </w:rPr>
      </w:pPr>
      <w:r>
        <w:rPr>
          <w:b/>
          <w:sz w:val="24"/>
          <w:szCs w:val="24"/>
          <w:lang w:val="en-GB"/>
        </w:rPr>
        <w:t>Whe</w:t>
      </w:r>
      <w:r w:rsidR="00637797">
        <w:rPr>
          <w:b/>
          <w:sz w:val="24"/>
          <w:szCs w:val="24"/>
          <w:lang w:val="en-GB"/>
        </w:rPr>
        <w:t>n the c</w:t>
      </w:r>
      <w:r>
        <w:rPr>
          <w:b/>
          <w:sz w:val="24"/>
          <w:szCs w:val="24"/>
          <w:lang w:val="en-GB"/>
        </w:rPr>
        <w:t xml:space="preserve">ourt may refuse to give effect to a contractual provision on the grounds of repugnancy </w:t>
      </w:r>
    </w:p>
    <w:p w14:paraId="728822D4" w14:textId="7656C2E1" w:rsidR="00A55B2A" w:rsidRDefault="00D454A0" w:rsidP="00677CDA">
      <w:pPr>
        <w:spacing w:after="220"/>
        <w:jc w:val="both"/>
        <w:rPr>
          <w:sz w:val="24"/>
          <w:szCs w:val="24"/>
          <w:lang w:val="en-GB"/>
        </w:rPr>
      </w:pPr>
      <w:r>
        <w:rPr>
          <w:sz w:val="24"/>
          <w:szCs w:val="24"/>
          <w:lang w:val="en-GB"/>
        </w:rPr>
        <w:t xml:space="preserve">There are a variety of circumstances in which </w:t>
      </w:r>
      <w:r w:rsidR="006E2DD9">
        <w:rPr>
          <w:sz w:val="24"/>
          <w:szCs w:val="24"/>
          <w:lang w:val="en-GB"/>
        </w:rPr>
        <w:t>the Court may refuse to give effect to a contractual provisi</w:t>
      </w:r>
      <w:r w:rsidR="00696C08">
        <w:rPr>
          <w:sz w:val="24"/>
          <w:szCs w:val="24"/>
          <w:lang w:val="en-GB"/>
        </w:rPr>
        <w:t>on on what are</w:t>
      </w:r>
      <w:r w:rsidR="001B692A">
        <w:rPr>
          <w:sz w:val="24"/>
          <w:szCs w:val="24"/>
          <w:lang w:val="en-GB"/>
        </w:rPr>
        <w:t>,</w:t>
      </w:r>
      <w:r w:rsidR="00696C08">
        <w:rPr>
          <w:sz w:val="24"/>
          <w:szCs w:val="24"/>
          <w:lang w:val="en-GB"/>
        </w:rPr>
        <w:t xml:space="preserve"> essentially</w:t>
      </w:r>
      <w:r w:rsidR="001D764B">
        <w:rPr>
          <w:sz w:val="24"/>
          <w:szCs w:val="24"/>
          <w:lang w:val="en-GB"/>
        </w:rPr>
        <w:t>,</w:t>
      </w:r>
      <w:r>
        <w:rPr>
          <w:sz w:val="24"/>
          <w:szCs w:val="24"/>
          <w:lang w:val="en-GB"/>
        </w:rPr>
        <w:t xml:space="preserve"> grounds of repugnancy</w:t>
      </w:r>
      <w:r w:rsidR="004276D2">
        <w:rPr>
          <w:sz w:val="24"/>
          <w:szCs w:val="24"/>
          <w:lang w:val="en-GB"/>
        </w:rPr>
        <w:t xml:space="preserve"> as defined above</w:t>
      </w:r>
      <w:r>
        <w:rPr>
          <w:sz w:val="24"/>
          <w:szCs w:val="24"/>
          <w:lang w:val="en-GB"/>
        </w:rPr>
        <w:t xml:space="preserve">. </w:t>
      </w:r>
      <w:r w:rsidR="006E2DD9">
        <w:rPr>
          <w:sz w:val="24"/>
          <w:szCs w:val="24"/>
          <w:lang w:val="en-GB"/>
        </w:rPr>
        <w:t>The most important of those</w:t>
      </w:r>
      <w:r w:rsidR="004276D2">
        <w:rPr>
          <w:sz w:val="24"/>
          <w:szCs w:val="24"/>
          <w:lang w:val="en-GB"/>
        </w:rPr>
        <w:t xml:space="preserve"> circumstances</w:t>
      </w:r>
      <w:r w:rsidR="006E2DD9">
        <w:rPr>
          <w:sz w:val="24"/>
          <w:szCs w:val="24"/>
          <w:lang w:val="en-GB"/>
        </w:rPr>
        <w:t xml:space="preserve"> are set out below.</w:t>
      </w:r>
    </w:p>
    <w:p w14:paraId="7B1CB991" w14:textId="77777777" w:rsidR="00C1755D" w:rsidRDefault="00C1755D" w:rsidP="00677CDA">
      <w:pPr>
        <w:spacing w:after="220"/>
        <w:jc w:val="both"/>
        <w:rPr>
          <w:sz w:val="24"/>
          <w:szCs w:val="24"/>
          <w:u w:val="single"/>
          <w:lang w:val="en-GB"/>
        </w:rPr>
      </w:pPr>
      <w:r>
        <w:rPr>
          <w:sz w:val="24"/>
          <w:szCs w:val="24"/>
          <w:u w:val="single"/>
          <w:lang w:val="en-GB"/>
        </w:rPr>
        <w:t>Illegality</w:t>
      </w:r>
    </w:p>
    <w:p w14:paraId="1807DD39" w14:textId="77777777" w:rsidR="00C1755D" w:rsidRDefault="00C1755D" w:rsidP="00677CDA">
      <w:pPr>
        <w:spacing w:after="220"/>
        <w:jc w:val="both"/>
        <w:rPr>
          <w:sz w:val="24"/>
          <w:szCs w:val="24"/>
          <w:lang w:val="en-GB"/>
        </w:rPr>
      </w:pPr>
      <w:r>
        <w:rPr>
          <w:sz w:val="24"/>
          <w:szCs w:val="24"/>
          <w:lang w:val="en-GB"/>
        </w:rPr>
        <w:t>It has long been a principle of the common law that no court will lend its aid to a man who founds his cause of action upon an immoral or an illegal act (</w:t>
      </w:r>
      <w:r w:rsidRPr="00E8281C">
        <w:rPr>
          <w:i/>
          <w:sz w:val="24"/>
          <w:szCs w:val="24"/>
        </w:rPr>
        <w:t>ex turpi causa non oritur actio</w:t>
      </w:r>
      <w:r>
        <w:rPr>
          <w:i/>
          <w:sz w:val="24"/>
          <w:szCs w:val="24"/>
          <w:lang w:val="en-GB"/>
        </w:rPr>
        <w:t>)</w:t>
      </w:r>
      <w:r>
        <w:rPr>
          <w:sz w:val="24"/>
          <w:szCs w:val="24"/>
          <w:lang w:val="en-GB"/>
        </w:rPr>
        <w:t xml:space="preserve">: see </w:t>
      </w:r>
      <w:r>
        <w:rPr>
          <w:i/>
          <w:sz w:val="24"/>
          <w:szCs w:val="24"/>
          <w:lang w:val="en-GB"/>
        </w:rPr>
        <w:t xml:space="preserve">Holman v </w:t>
      </w:r>
      <w:r w:rsidRPr="00FD048B">
        <w:rPr>
          <w:i/>
          <w:sz w:val="24"/>
          <w:szCs w:val="24"/>
          <w:lang w:val="en-GB"/>
        </w:rPr>
        <w:t>Johnson</w:t>
      </w:r>
      <w:r>
        <w:rPr>
          <w:i/>
          <w:sz w:val="24"/>
          <w:szCs w:val="24"/>
          <w:lang w:val="en-GB"/>
        </w:rPr>
        <w:t xml:space="preserve"> </w:t>
      </w:r>
      <w:r>
        <w:rPr>
          <w:sz w:val="24"/>
          <w:szCs w:val="24"/>
          <w:lang w:val="en-GB"/>
        </w:rPr>
        <w:t xml:space="preserve">(1775) 1 Cowp 341, 343. </w:t>
      </w:r>
    </w:p>
    <w:p w14:paraId="00BE9CC4" w14:textId="77777777" w:rsidR="00C1755D" w:rsidRDefault="00C1755D" w:rsidP="00677CDA">
      <w:pPr>
        <w:spacing w:after="220"/>
        <w:jc w:val="both"/>
        <w:rPr>
          <w:sz w:val="24"/>
          <w:szCs w:val="24"/>
          <w:lang w:val="en-GB"/>
        </w:rPr>
      </w:pPr>
      <w:r>
        <w:rPr>
          <w:sz w:val="24"/>
          <w:szCs w:val="24"/>
          <w:lang w:val="en-GB"/>
        </w:rPr>
        <w:t xml:space="preserve">In the recent Supreme Court case of </w:t>
      </w:r>
      <w:r>
        <w:rPr>
          <w:i/>
          <w:sz w:val="24"/>
          <w:szCs w:val="24"/>
          <w:lang w:val="en-GB"/>
        </w:rPr>
        <w:t>Patel v Mirza</w:t>
      </w:r>
      <w:r>
        <w:rPr>
          <w:sz w:val="24"/>
          <w:szCs w:val="24"/>
          <w:lang w:val="en-GB"/>
        </w:rPr>
        <w:t xml:space="preserve"> [2016] UKSC 42, the Court confirmed that the illegality doctrine is premised upon</w:t>
      </w:r>
      <w:r>
        <w:rPr>
          <w:sz w:val="24"/>
          <w:szCs w:val="24"/>
        </w:rPr>
        <w:t xml:space="preserve"> two public policy concerns, namely:</w:t>
      </w:r>
      <w:r>
        <w:rPr>
          <w:sz w:val="24"/>
          <w:szCs w:val="24"/>
          <w:lang w:val="en-GB"/>
        </w:rPr>
        <w:t xml:space="preserve"> (i) the notion that a person should not be allowed to profit from his own wrongdoing; and (ii) the notion that the law should be coherent and not self-defeating, condoning illegality by giving with the left hand what it takes with the right hand. </w:t>
      </w:r>
    </w:p>
    <w:p w14:paraId="2B90C280" w14:textId="77777777" w:rsidR="00C1755D" w:rsidRDefault="00C1755D" w:rsidP="00677CDA">
      <w:pPr>
        <w:spacing w:after="220"/>
        <w:jc w:val="both"/>
        <w:rPr>
          <w:sz w:val="24"/>
          <w:szCs w:val="24"/>
          <w:lang w:val="en-GB"/>
        </w:rPr>
      </w:pPr>
      <w:r>
        <w:rPr>
          <w:sz w:val="24"/>
          <w:szCs w:val="24"/>
          <w:lang w:val="en-GB"/>
        </w:rPr>
        <w:lastRenderedPageBreak/>
        <w:t xml:space="preserve">As </w:t>
      </w:r>
      <w:r>
        <w:rPr>
          <w:i/>
          <w:sz w:val="24"/>
          <w:szCs w:val="24"/>
          <w:lang w:val="en-GB"/>
        </w:rPr>
        <w:t xml:space="preserve">Patel </w:t>
      </w:r>
      <w:r>
        <w:rPr>
          <w:sz w:val="24"/>
          <w:szCs w:val="24"/>
          <w:lang w:val="en-GB"/>
        </w:rPr>
        <w:t>makes clear, when the Court invokes the illegality doctrine to strike down a particular contract or a particular contractual provision, it effectively does so on the ground that the contract or contractual provision in question is repugnant to public policy, in the second sense set out above.</w:t>
      </w:r>
    </w:p>
    <w:p w14:paraId="093D7418" w14:textId="159B6BA0" w:rsidR="002F5069" w:rsidRPr="002F5069" w:rsidRDefault="002F5069" w:rsidP="00677CDA">
      <w:pPr>
        <w:spacing w:after="220"/>
        <w:jc w:val="both"/>
        <w:rPr>
          <w:sz w:val="24"/>
          <w:szCs w:val="24"/>
          <w:u w:val="single"/>
          <w:lang w:val="en-GB"/>
        </w:rPr>
      </w:pPr>
      <w:r>
        <w:rPr>
          <w:sz w:val="24"/>
          <w:szCs w:val="24"/>
          <w:u w:val="single"/>
          <w:lang w:val="en-GB"/>
        </w:rPr>
        <w:t>Repugnant to the remainder of the contract</w:t>
      </w:r>
    </w:p>
    <w:p w14:paraId="4594D4AB" w14:textId="3A046DCF" w:rsidR="002F5069" w:rsidRPr="00E8281C" w:rsidRDefault="00C46106" w:rsidP="00677CDA">
      <w:pPr>
        <w:spacing w:after="360"/>
        <w:jc w:val="both"/>
        <w:rPr>
          <w:sz w:val="24"/>
          <w:szCs w:val="24"/>
        </w:rPr>
      </w:pPr>
      <w:r>
        <w:rPr>
          <w:sz w:val="24"/>
          <w:szCs w:val="24"/>
          <w:lang w:val="en-GB"/>
        </w:rPr>
        <w:t xml:space="preserve">Where two contractual provisions within the same agreement are inconsistent with one another, </w:t>
      </w:r>
      <w:r w:rsidR="002F5069" w:rsidRPr="00E8281C">
        <w:rPr>
          <w:sz w:val="24"/>
          <w:szCs w:val="24"/>
        </w:rPr>
        <w:t>the Courts a</w:t>
      </w:r>
      <w:r>
        <w:rPr>
          <w:sz w:val="24"/>
          <w:szCs w:val="24"/>
        </w:rPr>
        <w:t>sk which of the two</w:t>
      </w:r>
      <w:r w:rsidR="002F5069" w:rsidRPr="00E8281C">
        <w:rPr>
          <w:sz w:val="24"/>
          <w:szCs w:val="24"/>
        </w:rPr>
        <w:t xml:space="preserve"> contractual provisions is calculated to carry into effect the purpose of the contract as gathered from the instrument and its background, and reject the clause that would defeat that purpose</w:t>
      </w:r>
      <w:r w:rsidR="002F5069" w:rsidRPr="00E8281C">
        <w:rPr>
          <w:rStyle w:val="FootnoteReference"/>
          <w:sz w:val="24"/>
          <w:szCs w:val="24"/>
        </w:rPr>
        <w:footnoteReference w:id="1"/>
      </w:r>
      <w:r w:rsidR="002F5069" w:rsidRPr="00E8281C">
        <w:rPr>
          <w:sz w:val="24"/>
          <w:szCs w:val="24"/>
        </w:rPr>
        <w:t xml:space="preserve">. </w:t>
      </w:r>
    </w:p>
    <w:p w14:paraId="1DC02DA7" w14:textId="79AF762A" w:rsidR="002F5069" w:rsidRDefault="002F5069" w:rsidP="00677CDA">
      <w:pPr>
        <w:spacing w:after="220"/>
        <w:jc w:val="both"/>
        <w:rPr>
          <w:sz w:val="24"/>
          <w:szCs w:val="24"/>
          <w:lang w:val="en-GB"/>
        </w:rPr>
      </w:pPr>
      <w:r w:rsidRPr="00E8281C">
        <w:rPr>
          <w:sz w:val="24"/>
          <w:szCs w:val="24"/>
        </w:rPr>
        <w:t>The circumstances in which the Courts may refuse to give effect to a contractual provision on the grounds of inconsistency are, themselves, relatively limited. In order for a Court to conclude that two provisions are inconsistent, there must be such conflict between them that effect cannot fairly be given to both clauses</w:t>
      </w:r>
      <w:r w:rsidRPr="00E8281C">
        <w:rPr>
          <w:rStyle w:val="FootnoteReference"/>
          <w:sz w:val="24"/>
          <w:szCs w:val="24"/>
        </w:rPr>
        <w:footnoteReference w:id="2"/>
      </w:r>
      <w:r w:rsidRPr="00E8281C">
        <w:rPr>
          <w:sz w:val="24"/>
          <w:szCs w:val="24"/>
        </w:rPr>
        <w:t>. Such a conclusion is quite rare, given that the Courts are generally required to make an effort to give effect to every clause in a contract insofar as possible</w:t>
      </w:r>
      <w:r w:rsidRPr="00E8281C">
        <w:rPr>
          <w:rStyle w:val="FootnoteReference"/>
          <w:sz w:val="24"/>
          <w:szCs w:val="24"/>
        </w:rPr>
        <w:footnoteReference w:id="3"/>
      </w:r>
      <w:r w:rsidRPr="00E8281C">
        <w:rPr>
          <w:sz w:val="24"/>
          <w:szCs w:val="24"/>
        </w:rPr>
        <w:t>.</w:t>
      </w:r>
    </w:p>
    <w:p w14:paraId="47EA873B" w14:textId="6CE1B368" w:rsidR="00CF797B" w:rsidRPr="00CF797B" w:rsidRDefault="00CF797B" w:rsidP="00677CDA">
      <w:pPr>
        <w:spacing w:after="220"/>
        <w:jc w:val="both"/>
        <w:rPr>
          <w:sz w:val="24"/>
          <w:szCs w:val="24"/>
          <w:lang w:val="en-GB"/>
        </w:rPr>
      </w:pPr>
      <w:r>
        <w:rPr>
          <w:sz w:val="24"/>
          <w:szCs w:val="24"/>
          <w:lang w:val="en-GB"/>
        </w:rPr>
        <w:t xml:space="preserve">As is instantly clear, where the Courts refuse to give </w:t>
      </w:r>
      <w:r w:rsidR="00AA401A">
        <w:rPr>
          <w:sz w:val="24"/>
          <w:szCs w:val="24"/>
          <w:lang w:val="en-GB"/>
        </w:rPr>
        <w:t>effect to an inconsistent contractual provision, they do so on the grounds of repugnancy in the first sense set out above.</w:t>
      </w:r>
    </w:p>
    <w:p w14:paraId="63B556C5" w14:textId="5C3CD2B9" w:rsidR="00AE487C" w:rsidRDefault="00311733" w:rsidP="00677CDA">
      <w:pPr>
        <w:spacing w:after="220"/>
        <w:jc w:val="both"/>
        <w:rPr>
          <w:sz w:val="24"/>
          <w:szCs w:val="24"/>
          <w:lang w:val="en-GB"/>
        </w:rPr>
      </w:pPr>
      <w:r>
        <w:rPr>
          <w:sz w:val="24"/>
          <w:szCs w:val="24"/>
          <w:u w:val="single"/>
          <w:lang w:val="en-GB"/>
        </w:rPr>
        <w:t xml:space="preserve">The </w:t>
      </w:r>
      <w:r w:rsidR="00C1755D">
        <w:rPr>
          <w:sz w:val="24"/>
          <w:szCs w:val="24"/>
          <w:u w:val="single"/>
          <w:lang w:val="en-GB"/>
        </w:rPr>
        <w:t>p</w:t>
      </w:r>
      <w:r w:rsidR="00AE487C">
        <w:rPr>
          <w:sz w:val="24"/>
          <w:szCs w:val="24"/>
          <w:u w:val="single"/>
          <w:lang w:val="en-GB"/>
        </w:rPr>
        <w:t xml:space="preserve">enalty </w:t>
      </w:r>
      <w:r w:rsidR="00C1755D">
        <w:rPr>
          <w:sz w:val="24"/>
          <w:szCs w:val="24"/>
          <w:u w:val="single"/>
          <w:lang w:val="en-GB"/>
        </w:rPr>
        <w:t>r</w:t>
      </w:r>
      <w:r>
        <w:rPr>
          <w:sz w:val="24"/>
          <w:szCs w:val="24"/>
          <w:u w:val="single"/>
          <w:lang w:val="en-GB"/>
        </w:rPr>
        <w:t>ule</w:t>
      </w:r>
    </w:p>
    <w:p w14:paraId="5D819070" w14:textId="56BAE391" w:rsidR="001D764B" w:rsidRDefault="00AE487C" w:rsidP="00677CDA">
      <w:pPr>
        <w:spacing w:after="220"/>
        <w:jc w:val="both"/>
        <w:rPr>
          <w:i/>
          <w:sz w:val="24"/>
          <w:szCs w:val="24"/>
          <w:lang w:val="en-GB"/>
        </w:rPr>
      </w:pPr>
      <w:r>
        <w:rPr>
          <w:sz w:val="24"/>
          <w:szCs w:val="24"/>
          <w:lang w:val="en-GB"/>
        </w:rPr>
        <w:t xml:space="preserve">The Courts may also refuse to give effect to a contractual provision where it is considered to be a penalty clause. In another recent Supreme Court case, </w:t>
      </w:r>
      <w:r w:rsidR="00EB09F0" w:rsidRPr="00E8281C">
        <w:rPr>
          <w:i/>
          <w:sz w:val="24"/>
          <w:szCs w:val="24"/>
        </w:rPr>
        <w:t xml:space="preserve">Cavendish v Talal El Makdessi </w:t>
      </w:r>
      <w:r w:rsidR="00EB09F0" w:rsidRPr="00E8281C">
        <w:rPr>
          <w:sz w:val="24"/>
          <w:szCs w:val="24"/>
        </w:rPr>
        <w:t>[2015] UKSC 67</w:t>
      </w:r>
      <w:r>
        <w:rPr>
          <w:sz w:val="24"/>
          <w:szCs w:val="24"/>
          <w:lang w:val="en-GB"/>
        </w:rPr>
        <w:t xml:space="preserve">, the Court held that </w:t>
      </w:r>
      <w:r w:rsidR="001D764B">
        <w:rPr>
          <w:sz w:val="24"/>
          <w:szCs w:val="24"/>
          <w:lang w:val="en-GB"/>
        </w:rPr>
        <w:t>the key question in seeking to distinguish a penalty clause from a liquidated damages clause</w:t>
      </w:r>
      <w:r w:rsidR="002D3F55">
        <w:rPr>
          <w:sz w:val="24"/>
          <w:szCs w:val="24"/>
          <w:lang w:val="en-GB"/>
        </w:rPr>
        <w:t xml:space="preserve"> is</w:t>
      </w:r>
      <w:r w:rsidR="00311733">
        <w:rPr>
          <w:sz w:val="24"/>
          <w:szCs w:val="24"/>
          <w:lang w:val="en-GB"/>
        </w:rPr>
        <w:t>:</w:t>
      </w:r>
      <w:r w:rsidR="001D764B" w:rsidRPr="001D764B">
        <w:rPr>
          <w:i/>
          <w:sz w:val="24"/>
          <w:szCs w:val="24"/>
        </w:rPr>
        <w:t xml:space="preserve"> </w:t>
      </w:r>
    </w:p>
    <w:p w14:paraId="4ED5BB08" w14:textId="4E8F0645" w:rsidR="00311733" w:rsidRDefault="001D764B" w:rsidP="00742EB4">
      <w:pPr>
        <w:spacing w:after="220" w:line="240" w:lineRule="auto"/>
        <w:ind w:left="902" w:right="828"/>
        <w:jc w:val="both"/>
        <w:rPr>
          <w:i/>
          <w:sz w:val="24"/>
          <w:szCs w:val="24"/>
        </w:rPr>
      </w:pPr>
      <w:r w:rsidRPr="00E8281C">
        <w:rPr>
          <w:i/>
          <w:sz w:val="24"/>
          <w:szCs w:val="24"/>
        </w:rPr>
        <w:t xml:space="preserve">“…whether the impugned provision is a secondary obligation which imposes a detriment on the contract-breaker out of all proportion to any legitimate interest of the innocent party in the enforcement of the primary obligation.”   </w:t>
      </w:r>
    </w:p>
    <w:p w14:paraId="36431E83" w14:textId="77777777" w:rsidR="00606579" w:rsidRDefault="00606579" w:rsidP="00606579">
      <w:pPr>
        <w:spacing w:after="220" w:line="240" w:lineRule="auto"/>
        <w:ind w:right="828"/>
        <w:jc w:val="both"/>
        <w:rPr>
          <w:sz w:val="24"/>
          <w:szCs w:val="24"/>
          <w:lang w:val="en-GB"/>
        </w:rPr>
      </w:pPr>
    </w:p>
    <w:p w14:paraId="0872BC60" w14:textId="1AB742DC" w:rsidR="002D3F55" w:rsidRPr="00580C0C" w:rsidRDefault="00FC4C80" w:rsidP="00677CDA">
      <w:pPr>
        <w:spacing w:after="220"/>
        <w:jc w:val="both"/>
        <w:rPr>
          <w:sz w:val="24"/>
          <w:szCs w:val="24"/>
        </w:rPr>
      </w:pPr>
      <w:r>
        <w:rPr>
          <w:sz w:val="24"/>
          <w:szCs w:val="24"/>
          <w:lang w:val="en-GB"/>
        </w:rPr>
        <w:lastRenderedPageBreak/>
        <w:t>As part of the</w:t>
      </w:r>
      <w:r w:rsidR="00A87C32">
        <w:rPr>
          <w:sz w:val="24"/>
          <w:szCs w:val="24"/>
          <w:lang w:val="en-GB"/>
        </w:rPr>
        <w:t xml:space="preserve"> </w:t>
      </w:r>
      <w:r>
        <w:rPr>
          <w:sz w:val="24"/>
          <w:szCs w:val="24"/>
        </w:rPr>
        <w:t xml:space="preserve">majority </w:t>
      </w:r>
      <w:r w:rsidR="00A87C32">
        <w:rPr>
          <w:sz w:val="24"/>
          <w:szCs w:val="24"/>
          <w:lang w:val="en-GB"/>
        </w:rPr>
        <w:t>judgment, t</w:t>
      </w:r>
      <w:r w:rsidR="002D3F55">
        <w:rPr>
          <w:sz w:val="24"/>
          <w:szCs w:val="24"/>
          <w:lang w:val="en-GB"/>
        </w:rPr>
        <w:t xml:space="preserve">he </w:t>
      </w:r>
      <w:r w:rsidR="00A87C32">
        <w:rPr>
          <w:sz w:val="24"/>
          <w:szCs w:val="24"/>
          <w:lang w:val="en-GB"/>
        </w:rPr>
        <w:t xml:space="preserve">Supreme </w:t>
      </w:r>
      <w:r w:rsidR="002D3F55">
        <w:rPr>
          <w:sz w:val="24"/>
          <w:szCs w:val="24"/>
          <w:lang w:val="en-GB"/>
        </w:rPr>
        <w:t>Court made clear that</w:t>
      </w:r>
      <w:r w:rsidR="00580C0C">
        <w:rPr>
          <w:sz w:val="24"/>
          <w:szCs w:val="24"/>
          <w:lang w:val="en-GB"/>
        </w:rPr>
        <w:t xml:space="preserve"> the relative bargaining power of the parties may be relevant in determining whether the provision in question is penal</w:t>
      </w:r>
      <w:r w:rsidR="008F1D5D">
        <w:rPr>
          <w:rStyle w:val="FootnoteReference"/>
          <w:sz w:val="24"/>
          <w:szCs w:val="24"/>
          <w:lang w:val="en-GB"/>
        </w:rPr>
        <w:footnoteReference w:id="4"/>
      </w:r>
      <w:r w:rsidR="00580C0C">
        <w:rPr>
          <w:sz w:val="24"/>
          <w:szCs w:val="24"/>
          <w:lang w:val="en-GB"/>
        </w:rPr>
        <w:t>.</w:t>
      </w:r>
    </w:p>
    <w:p w14:paraId="754B5E23" w14:textId="3C5B0156" w:rsidR="00311733" w:rsidRDefault="002D3F55" w:rsidP="00677CDA">
      <w:pPr>
        <w:spacing w:after="220"/>
        <w:jc w:val="both"/>
        <w:rPr>
          <w:sz w:val="24"/>
          <w:szCs w:val="24"/>
          <w:lang w:val="en-GB"/>
        </w:rPr>
      </w:pPr>
      <w:r>
        <w:rPr>
          <w:sz w:val="24"/>
          <w:szCs w:val="24"/>
          <w:lang w:val="en-GB"/>
        </w:rPr>
        <w:t>From the foregoing it is clear that w</w:t>
      </w:r>
      <w:r w:rsidR="00311733">
        <w:rPr>
          <w:sz w:val="24"/>
          <w:szCs w:val="24"/>
          <w:lang w:val="en-GB"/>
        </w:rPr>
        <w:t xml:space="preserve">here the Court invokes the penalty rule, it does so on the basis that the clause in question is repugnant to the law or to public policy in the second sense set out above. </w:t>
      </w:r>
    </w:p>
    <w:p w14:paraId="283AA5B2" w14:textId="00829A5D" w:rsidR="00D454A0" w:rsidRPr="00E8281C" w:rsidRDefault="00EB09F0" w:rsidP="00677CDA">
      <w:pPr>
        <w:spacing w:after="360"/>
        <w:jc w:val="both"/>
        <w:rPr>
          <w:sz w:val="24"/>
          <w:szCs w:val="24"/>
          <w:u w:val="single"/>
        </w:rPr>
      </w:pPr>
      <w:r>
        <w:rPr>
          <w:sz w:val="24"/>
          <w:szCs w:val="24"/>
          <w:u w:val="single"/>
        </w:rPr>
        <w:t xml:space="preserve">Unfair </w:t>
      </w:r>
      <w:r w:rsidR="00C1755D">
        <w:rPr>
          <w:sz w:val="24"/>
          <w:szCs w:val="24"/>
          <w:u w:val="single"/>
        </w:rPr>
        <w:t>t</w:t>
      </w:r>
      <w:r w:rsidR="00D454A0" w:rsidRPr="00E8281C">
        <w:rPr>
          <w:sz w:val="24"/>
          <w:szCs w:val="24"/>
          <w:u w:val="single"/>
        </w:rPr>
        <w:t>erms</w:t>
      </w:r>
    </w:p>
    <w:p w14:paraId="04F53B06" w14:textId="4C6CE327" w:rsidR="00CF0716" w:rsidRDefault="00BA14D7" w:rsidP="00677CDA">
      <w:pPr>
        <w:spacing w:after="360"/>
        <w:jc w:val="both"/>
        <w:rPr>
          <w:sz w:val="24"/>
          <w:szCs w:val="24"/>
        </w:rPr>
      </w:pPr>
      <w:r>
        <w:rPr>
          <w:sz w:val="24"/>
          <w:szCs w:val="24"/>
        </w:rPr>
        <w:t xml:space="preserve">By separate legislation, the Courts are also empowered </w:t>
      </w:r>
      <w:r w:rsidR="00D454A0" w:rsidRPr="00E8281C">
        <w:rPr>
          <w:sz w:val="24"/>
          <w:szCs w:val="24"/>
        </w:rPr>
        <w:t xml:space="preserve">to refuse to give effect to a contractual term on the grounds of unfairness. By way of example, </w:t>
      </w:r>
      <w:r w:rsidR="00142458">
        <w:rPr>
          <w:sz w:val="24"/>
          <w:szCs w:val="24"/>
        </w:rPr>
        <w:t>unfair contract terms legislation</w:t>
      </w:r>
      <w:r w:rsidR="00D454A0" w:rsidRPr="00E8281C">
        <w:rPr>
          <w:sz w:val="24"/>
          <w:szCs w:val="24"/>
        </w:rPr>
        <w:t xml:space="preserve"> regulate</w:t>
      </w:r>
      <w:r w:rsidR="009850D3">
        <w:rPr>
          <w:sz w:val="24"/>
          <w:szCs w:val="24"/>
        </w:rPr>
        <w:t xml:space="preserve">s parties’ attempts to </w:t>
      </w:r>
      <w:r w:rsidR="00D066F8">
        <w:rPr>
          <w:sz w:val="24"/>
          <w:szCs w:val="24"/>
        </w:rPr>
        <w:t xml:space="preserve">exempt themselves from liability for negligence or </w:t>
      </w:r>
      <w:r w:rsidR="00567AC2">
        <w:rPr>
          <w:sz w:val="24"/>
          <w:szCs w:val="24"/>
        </w:rPr>
        <w:t xml:space="preserve">– when dealing on their own written standard terms of business </w:t>
      </w:r>
      <w:r w:rsidR="00634717">
        <w:rPr>
          <w:sz w:val="24"/>
          <w:szCs w:val="24"/>
        </w:rPr>
        <w:t>–</w:t>
      </w:r>
      <w:r w:rsidR="00567AC2">
        <w:rPr>
          <w:sz w:val="24"/>
          <w:szCs w:val="24"/>
        </w:rPr>
        <w:t xml:space="preserve"> </w:t>
      </w:r>
      <w:r w:rsidR="00634717">
        <w:rPr>
          <w:sz w:val="24"/>
          <w:szCs w:val="24"/>
        </w:rPr>
        <w:t>contractual liability. In both cases, the clauses in question are subject to a requirement of reasonableness. Reasonableness is judged by reference to factors including</w:t>
      </w:r>
      <w:r w:rsidR="004447B7">
        <w:rPr>
          <w:sz w:val="24"/>
          <w:szCs w:val="24"/>
        </w:rPr>
        <w:t>, but not limited to</w:t>
      </w:r>
      <w:r w:rsidR="00CF0716">
        <w:rPr>
          <w:sz w:val="24"/>
          <w:szCs w:val="24"/>
        </w:rPr>
        <w:t>:</w:t>
      </w:r>
    </w:p>
    <w:p w14:paraId="136564B8" w14:textId="77777777" w:rsidR="00A6453D" w:rsidRPr="00A6453D" w:rsidRDefault="00A6453D" w:rsidP="00677CDA">
      <w:pPr>
        <w:pStyle w:val="ListParagraph"/>
        <w:numPr>
          <w:ilvl w:val="0"/>
          <w:numId w:val="14"/>
        </w:numPr>
        <w:spacing w:after="360"/>
        <w:rPr>
          <w:sz w:val="24"/>
          <w:szCs w:val="24"/>
          <w:lang w:val="en-GB"/>
        </w:rPr>
      </w:pPr>
      <w:r>
        <w:rPr>
          <w:sz w:val="24"/>
          <w:szCs w:val="24"/>
        </w:rPr>
        <w:t>T</w:t>
      </w:r>
      <w:r w:rsidR="00CF0716" w:rsidRPr="00A6453D">
        <w:rPr>
          <w:sz w:val="24"/>
          <w:szCs w:val="24"/>
        </w:rPr>
        <w:t>he strength of the parties’ respective bargaining</w:t>
      </w:r>
      <w:r>
        <w:rPr>
          <w:sz w:val="24"/>
          <w:szCs w:val="24"/>
        </w:rPr>
        <w:t xml:space="preserve"> positions</w:t>
      </w:r>
    </w:p>
    <w:p w14:paraId="4E8ABA40" w14:textId="77777777" w:rsidR="00A6453D" w:rsidRPr="00A6453D" w:rsidRDefault="00A6453D" w:rsidP="00677CDA">
      <w:pPr>
        <w:pStyle w:val="ListParagraph"/>
        <w:numPr>
          <w:ilvl w:val="0"/>
          <w:numId w:val="14"/>
        </w:numPr>
        <w:spacing w:after="360"/>
        <w:rPr>
          <w:sz w:val="24"/>
          <w:szCs w:val="24"/>
          <w:lang w:val="en-GB"/>
        </w:rPr>
      </w:pPr>
      <w:r>
        <w:rPr>
          <w:sz w:val="24"/>
          <w:szCs w:val="24"/>
        </w:rPr>
        <w:t>Whether the innocent party could have met his requirements by other means or by entering into a similar contract with a third party</w:t>
      </w:r>
    </w:p>
    <w:p w14:paraId="47D6212A" w14:textId="783046FB" w:rsidR="00A87C32" w:rsidRPr="00A6453D" w:rsidRDefault="00A6453D" w:rsidP="00677CDA">
      <w:pPr>
        <w:pStyle w:val="ListParagraph"/>
        <w:numPr>
          <w:ilvl w:val="0"/>
          <w:numId w:val="14"/>
        </w:numPr>
        <w:spacing w:after="360"/>
        <w:rPr>
          <w:sz w:val="24"/>
          <w:szCs w:val="24"/>
          <w:lang w:val="en-GB"/>
        </w:rPr>
      </w:pPr>
      <w:r>
        <w:rPr>
          <w:sz w:val="24"/>
          <w:szCs w:val="24"/>
        </w:rPr>
        <w:t>Whether there was an inducement to agree to the relevant term</w:t>
      </w:r>
      <w:r w:rsidR="00D454A0" w:rsidRPr="00A6453D">
        <w:rPr>
          <w:sz w:val="24"/>
          <w:szCs w:val="24"/>
        </w:rPr>
        <w:t xml:space="preserve"> </w:t>
      </w:r>
    </w:p>
    <w:p w14:paraId="6CF366CB" w14:textId="6DD722BD" w:rsidR="00D454A0" w:rsidRPr="007B504C" w:rsidRDefault="00D454A0" w:rsidP="00677CDA">
      <w:pPr>
        <w:spacing w:after="360"/>
        <w:jc w:val="both"/>
        <w:rPr>
          <w:sz w:val="24"/>
          <w:szCs w:val="24"/>
          <w:lang w:val="en-GB"/>
        </w:rPr>
      </w:pPr>
      <w:r w:rsidRPr="00E8281C">
        <w:rPr>
          <w:sz w:val="24"/>
          <w:szCs w:val="24"/>
        </w:rPr>
        <w:t>U</w:t>
      </w:r>
      <w:r w:rsidR="00FF30B0">
        <w:rPr>
          <w:sz w:val="24"/>
          <w:szCs w:val="24"/>
        </w:rPr>
        <w:t xml:space="preserve">nder </w:t>
      </w:r>
      <w:r w:rsidR="008E4907">
        <w:rPr>
          <w:sz w:val="24"/>
          <w:szCs w:val="24"/>
        </w:rPr>
        <w:t>unfair contract terms legislation, the Courts are</w:t>
      </w:r>
      <w:r w:rsidRPr="00E8281C">
        <w:rPr>
          <w:sz w:val="24"/>
          <w:szCs w:val="24"/>
        </w:rPr>
        <w:t xml:space="preserve"> effectively </w:t>
      </w:r>
      <w:r w:rsidR="00FF30B0">
        <w:rPr>
          <w:sz w:val="24"/>
          <w:szCs w:val="24"/>
        </w:rPr>
        <w:t xml:space="preserve">empowered to refuse to enforce contractual provisions </w:t>
      </w:r>
      <w:r w:rsidRPr="00E8281C">
        <w:rPr>
          <w:sz w:val="24"/>
          <w:szCs w:val="24"/>
        </w:rPr>
        <w:t>on the grounds of repugnancy, in the second sense set out above</w:t>
      </w:r>
      <w:r w:rsidR="007B504C">
        <w:rPr>
          <w:sz w:val="24"/>
          <w:szCs w:val="24"/>
          <w:lang w:val="en-GB"/>
        </w:rPr>
        <w:t>.</w:t>
      </w:r>
      <w:r w:rsidR="00EB11FF">
        <w:rPr>
          <w:sz w:val="24"/>
          <w:szCs w:val="24"/>
          <w:lang w:val="en-GB"/>
        </w:rPr>
        <w:t xml:space="preserve"> A similar </w:t>
      </w:r>
      <w:r w:rsidR="00B065D8">
        <w:rPr>
          <w:sz w:val="24"/>
          <w:szCs w:val="24"/>
          <w:lang w:val="en-GB"/>
        </w:rPr>
        <w:t xml:space="preserve">protection </w:t>
      </w:r>
      <w:r w:rsidR="00F738DD">
        <w:rPr>
          <w:sz w:val="24"/>
          <w:szCs w:val="24"/>
          <w:lang w:val="en-GB"/>
        </w:rPr>
        <w:t>regime has</w:t>
      </w:r>
      <w:r w:rsidR="00EB11FF">
        <w:rPr>
          <w:sz w:val="24"/>
          <w:szCs w:val="24"/>
          <w:lang w:val="en-GB"/>
        </w:rPr>
        <w:t xml:space="preserve"> also</w:t>
      </w:r>
      <w:r w:rsidR="00F738DD">
        <w:rPr>
          <w:sz w:val="24"/>
          <w:szCs w:val="24"/>
          <w:lang w:val="en-GB"/>
        </w:rPr>
        <w:t xml:space="preserve"> been put</w:t>
      </w:r>
      <w:r w:rsidR="00EB11FF">
        <w:rPr>
          <w:sz w:val="24"/>
          <w:szCs w:val="24"/>
          <w:lang w:val="en-GB"/>
        </w:rPr>
        <w:t xml:space="preserve"> in place in respect of consumer contracts</w:t>
      </w:r>
      <w:r w:rsidR="00B065D8">
        <w:rPr>
          <w:sz w:val="24"/>
          <w:szCs w:val="24"/>
          <w:lang w:val="en-GB"/>
        </w:rPr>
        <w:t xml:space="preserve"> by virtue of the Consumer Rights Act 2015.</w:t>
      </w:r>
      <w:r w:rsidR="00EB11FF">
        <w:rPr>
          <w:sz w:val="24"/>
          <w:szCs w:val="24"/>
          <w:lang w:val="en-GB"/>
        </w:rPr>
        <w:t xml:space="preserve"> </w:t>
      </w:r>
    </w:p>
    <w:p w14:paraId="4EBCD39D" w14:textId="77777777" w:rsidR="00BA14D7" w:rsidRDefault="00BA14D7">
      <w:pPr>
        <w:spacing w:after="0" w:line="240" w:lineRule="auto"/>
        <w:rPr>
          <w:sz w:val="24"/>
          <w:szCs w:val="24"/>
          <w:u w:val="single"/>
          <w:lang w:val="en-GB"/>
        </w:rPr>
      </w:pPr>
      <w:r>
        <w:rPr>
          <w:sz w:val="24"/>
          <w:szCs w:val="24"/>
          <w:u w:val="single"/>
          <w:lang w:val="en-GB"/>
        </w:rPr>
        <w:br w:type="page"/>
      </w:r>
    </w:p>
    <w:p w14:paraId="58275BC6" w14:textId="7644F6CB" w:rsidR="00D454A0" w:rsidRDefault="00B065D8" w:rsidP="00677CDA">
      <w:pPr>
        <w:spacing w:after="360"/>
        <w:jc w:val="both"/>
        <w:rPr>
          <w:sz w:val="24"/>
          <w:szCs w:val="24"/>
          <w:u w:val="single"/>
          <w:lang w:val="en-GB"/>
        </w:rPr>
      </w:pPr>
      <w:r>
        <w:rPr>
          <w:sz w:val="24"/>
          <w:szCs w:val="24"/>
          <w:u w:val="single"/>
          <w:lang w:val="en-GB"/>
        </w:rPr>
        <w:lastRenderedPageBreak/>
        <w:t>Standard t</w:t>
      </w:r>
      <w:r w:rsidR="00D454A0">
        <w:rPr>
          <w:sz w:val="24"/>
          <w:szCs w:val="24"/>
          <w:u w:val="single"/>
          <w:lang w:val="en-GB"/>
        </w:rPr>
        <w:t>erms</w:t>
      </w:r>
    </w:p>
    <w:p w14:paraId="17B96A27" w14:textId="77777777" w:rsidR="00BA14D7" w:rsidRDefault="00AA1C0F" w:rsidP="00677CDA">
      <w:pPr>
        <w:spacing w:after="360"/>
        <w:jc w:val="both"/>
        <w:rPr>
          <w:sz w:val="24"/>
          <w:szCs w:val="24"/>
          <w:lang w:val="en-GB"/>
        </w:rPr>
      </w:pPr>
      <w:r>
        <w:rPr>
          <w:sz w:val="24"/>
          <w:szCs w:val="24"/>
          <w:lang w:val="en-GB"/>
        </w:rPr>
        <w:t>The Courts may also refuse to enforce repugnant contractual provisions when those provisions arise out of standard form contracts</w:t>
      </w:r>
      <w:r w:rsidR="004C5F92">
        <w:rPr>
          <w:sz w:val="24"/>
          <w:szCs w:val="24"/>
          <w:lang w:val="en-GB"/>
        </w:rPr>
        <w:t xml:space="preserve">. </w:t>
      </w:r>
    </w:p>
    <w:p w14:paraId="506EA70E" w14:textId="510635A6" w:rsidR="00BA14D7" w:rsidRDefault="004C5F92" w:rsidP="00677CDA">
      <w:pPr>
        <w:spacing w:after="360"/>
        <w:jc w:val="both"/>
        <w:rPr>
          <w:sz w:val="24"/>
          <w:szCs w:val="24"/>
          <w:lang w:val="en-GB"/>
        </w:rPr>
      </w:pPr>
      <w:r>
        <w:rPr>
          <w:sz w:val="24"/>
          <w:szCs w:val="24"/>
          <w:lang w:val="en-GB"/>
        </w:rPr>
        <w:t>Many unobjectionable standard forms have arisen out of a desire to facilitate the conduct of trade in the context of transactions of common occurrence</w:t>
      </w:r>
      <w:r w:rsidR="00AA1C0F">
        <w:rPr>
          <w:sz w:val="24"/>
          <w:szCs w:val="24"/>
          <w:lang w:val="en-GB"/>
        </w:rPr>
        <w:t xml:space="preserve">. </w:t>
      </w:r>
      <w:r>
        <w:rPr>
          <w:sz w:val="24"/>
          <w:szCs w:val="24"/>
          <w:lang w:val="en-GB"/>
        </w:rPr>
        <w:t>However, a</w:t>
      </w:r>
      <w:r w:rsidR="00D16E01">
        <w:rPr>
          <w:sz w:val="24"/>
          <w:szCs w:val="24"/>
          <w:lang w:val="en-GB"/>
        </w:rPr>
        <w:t xml:space="preserve">s Lord Diplock noted in </w:t>
      </w:r>
      <w:r w:rsidR="00085382">
        <w:rPr>
          <w:i/>
          <w:sz w:val="24"/>
          <w:szCs w:val="24"/>
          <w:lang w:val="en-GB"/>
        </w:rPr>
        <w:t>Schroeder Music v Macaulay</w:t>
      </w:r>
      <w:r w:rsidR="00085382">
        <w:rPr>
          <w:sz w:val="24"/>
          <w:szCs w:val="24"/>
          <w:lang w:val="en-GB"/>
        </w:rPr>
        <w:t>, [1974] 3 All E</w:t>
      </w:r>
      <w:r>
        <w:rPr>
          <w:sz w:val="24"/>
          <w:szCs w:val="24"/>
          <w:lang w:val="en-GB"/>
        </w:rPr>
        <w:t>R 616,</w:t>
      </w:r>
      <w:r w:rsidR="00085382">
        <w:rPr>
          <w:sz w:val="24"/>
          <w:szCs w:val="24"/>
          <w:lang w:val="en-GB"/>
        </w:rPr>
        <w:t xml:space="preserve"> </w:t>
      </w:r>
      <w:r>
        <w:rPr>
          <w:sz w:val="24"/>
          <w:szCs w:val="24"/>
          <w:lang w:val="en-GB"/>
        </w:rPr>
        <w:t>other standard form contracts hav</w:t>
      </w:r>
      <w:r w:rsidR="00770F31">
        <w:rPr>
          <w:sz w:val="24"/>
          <w:szCs w:val="24"/>
          <w:lang w:val="en-GB"/>
        </w:rPr>
        <w:t>e arisen as a result of stronger parties seeking to leverage their unequal bargaining power to their advantage when de</w:t>
      </w:r>
      <w:r w:rsidR="00BA14D7">
        <w:rPr>
          <w:sz w:val="24"/>
          <w:szCs w:val="24"/>
          <w:lang w:val="en-GB"/>
        </w:rPr>
        <w:t xml:space="preserve">aling with weaker counterparts. </w:t>
      </w:r>
      <w:r w:rsidR="00770F31">
        <w:rPr>
          <w:sz w:val="24"/>
          <w:szCs w:val="24"/>
          <w:lang w:val="en-GB"/>
        </w:rPr>
        <w:t>In such instances, the Courts are often empowered to strike down repugnant c</w:t>
      </w:r>
      <w:r w:rsidR="00BA14D7">
        <w:rPr>
          <w:sz w:val="24"/>
          <w:szCs w:val="24"/>
          <w:lang w:val="en-GB"/>
        </w:rPr>
        <w:t>lauses by statute. One example arising in the construction industry</w:t>
      </w:r>
      <w:r w:rsidR="00770F31">
        <w:rPr>
          <w:sz w:val="24"/>
          <w:szCs w:val="24"/>
          <w:lang w:val="en-GB"/>
        </w:rPr>
        <w:t xml:space="preserve"> is the statutory prohibition on </w:t>
      </w:r>
      <w:r w:rsidR="00382CA7">
        <w:rPr>
          <w:sz w:val="24"/>
          <w:szCs w:val="24"/>
          <w:lang w:val="en-GB"/>
        </w:rPr>
        <w:t>stronger parties making express provision to the effect that they will only pay those below them in the contractual food chain when they themselves have been paid</w:t>
      </w:r>
      <w:r w:rsidR="00382CA7">
        <w:rPr>
          <w:rStyle w:val="FootnoteReference"/>
          <w:sz w:val="24"/>
          <w:szCs w:val="24"/>
          <w:lang w:val="en-GB"/>
        </w:rPr>
        <w:footnoteReference w:id="5"/>
      </w:r>
      <w:r w:rsidR="00382CA7">
        <w:rPr>
          <w:sz w:val="24"/>
          <w:szCs w:val="24"/>
          <w:lang w:val="en-GB"/>
        </w:rPr>
        <w:t xml:space="preserve">. </w:t>
      </w:r>
    </w:p>
    <w:p w14:paraId="124A0678" w14:textId="400B9755" w:rsidR="00A87C32" w:rsidRPr="00085382" w:rsidRDefault="001563A5" w:rsidP="00677CDA">
      <w:pPr>
        <w:spacing w:after="360"/>
        <w:jc w:val="both"/>
        <w:rPr>
          <w:sz w:val="24"/>
          <w:szCs w:val="24"/>
          <w:lang w:val="en-GB"/>
        </w:rPr>
      </w:pPr>
      <w:r>
        <w:rPr>
          <w:sz w:val="24"/>
          <w:szCs w:val="24"/>
          <w:lang w:val="en-GB"/>
        </w:rPr>
        <w:t>Such statutory control also comprises a rejection of contractual provisions</w:t>
      </w:r>
      <w:r w:rsidR="00DB4D77">
        <w:rPr>
          <w:sz w:val="24"/>
          <w:szCs w:val="24"/>
          <w:lang w:val="en-GB"/>
        </w:rPr>
        <w:t xml:space="preserve"> on grounds of repugnancy,</w:t>
      </w:r>
      <w:r>
        <w:rPr>
          <w:sz w:val="24"/>
          <w:szCs w:val="24"/>
          <w:lang w:val="en-GB"/>
        </w:rPr>
        <w:t xml:space="preserve"> in the second sense set out above. </w:t>
      </w:r>
    </w:p>
    <w:p w14:paraId="4326D5C4" w14:textId="77777777" w:rsidR="00311733" w:rsidRPr="00AE487C" w:rsidRDefault="00311733" w:rsidP="00677CDA">
      <w:pPr>
        <w:spacing w:after="220"/>
        <w:jc w:val="both"/>
        <w:rPr>
          <w:sz w:val="24"/>
          <w:szCs w:val="24"/>
          <w:lang w:val="en-GB"/>
        </w:rPr>
      </w:pPr>
    </w:p>
    <w:p w14:paraId="1D39031B" w14:textId="49045DAC" w:rsidR="00657379" w:rsidRDefault="00637797" w:rsidP="00677CDA">
      <w:pPr>
        <w:spacing w:after="220"/>
        <w:jc w:val="both"/>
        <w:rPr>
          <w:sz w:val="24"/>
          <w:szCs w:val="24"/>
          <w:lang w:val="en-GB"/>
        </w:rPr>
      </w:pPr>
      <w:r>
        <w:rPr>
          <w:b/>
          <w:sz w:val="24"/>
          <w:szCs w:val="24"/>
        </w:rPr>
        <w:t>Whether the c</w:t>
      </w:r>
      <w:r w:rsidR="00696C08">
        <w:rPr>
          <w:b/>
          <w:sz w:val="24"/>
          <w:szCs w:val="24"/>
        </w:rPr>
        <w:t>ourts ought to</w:t>
      </w:r>
      <w:r w:rsidR="00696C08">
        <w:rPr>
          <w:b/>
          <w:sz w:val="24"/>
          <w:szCs w:val="24"/>
          <w:lang w:val="en-GB"/>
        </w:rPr>
        <w:t xml:space="preserve"> have such</w:t>
      </w:r>
      <w:r w:rsidR="00FD28F2">
        <w:rPr>
          <w:b/>
          <w:sz w:val="24"/>
          <w:szCs w:val="24"/>
          <w:lang w:val="en-GB"/>
        </w:rPr>
        <w:t xml:space="preserve"> </w:t>
      </w:r>
      <w:r w:rsidR="00696C08">
        <w:rPr>
          <w:b/>
          <w:sz w:val="24"/>
          <w:szCs w:val="24"/>
          <w:lang w:val="en-GB"/>
        </w:rPr>
        <w:t>power</w:t>
      </w:r>
      <w:r w:rsidR="00FD28F2">
        <w:rPr>
          <w:b/>
          <w:sz w:val="24"/>
          <w:szCs w:val="24"/>
          <w:lang w:val="en-GB"/>
        </w:rPr>
        <w:t>s</w:t>
      </w:r>
    </w:p>
    <w:p w14:paraId="46194A53" w14:textId="53453608" w:rsidR="00AF0274" w:rsidRPr="00AF0274" w:rsidRDefault="00AF0274" w:rsidP="00677CDA">
      <w:pPr>
        <w:spacing w:after="220"/>
        <w:jc w:val="both"/>
        <w:rPr>
          <w:sz w:val="24"/>
          <w:szCs w:val="24"/>
          <w:u w:val="single"/>
          <w:lang w:val="en-GB"/>
        </w:rPr>
      </w:pPr>
      <w:r>
        <w:rPr>
          <w:sz w:val="24"/>
          <w:szCs w:val="24"/>
          <w:u w:val="single"/>
          <w:lang w:val="en-GB"/>
        </w:rPr>
        <w:t>Illegality</w:t>
      </w:r>
    </w:p>
    <w:p w14:paraId="6A0946B5" w14:textId="5E148154" w:rsidR="00657379" w:rsidRDefault="00657379" w:rsidP="00677CDA">
      <w:pPr>
        <w:spacing w:after="220"/>
        <w:jc w:val="both"/>
        <w:rPr>
          <w:sz w:val="24"/>
          <w:szCs w:val="24"/>
          <w:lang w:val="en-GB"/>
        </w:rPr>
      </w:pPr>
      <w:r>
        <w:rPr>
          <w:sz w:val="24"/>
          <w:szCs w:val="24"/>
          <w:lang w:val="en-GB"/>
        </w:rPr>
        <w:t xml:space="preserve">In cases of illegality, the question is effectively whether – as a matter of public policy – the Court ought to enforce a claim if to do so would be harmful to the integrity of the legal system; see </w:t>
      </w:r>
      <w:r>
        <w:rPr>
          <w:i/>
          <w:sz w:val="24"/>
          <w:szCs w:val="24"/>
          <w:lang w:val="en-GB"/>
        </w:rPr>
        <w:t>Hall v Herbert</w:t>
      </w:r>
      <w:r>
        <w:rPr>
          <w:sz w:val="24"/>
          <w:szCs w:val="24"/>
          <w:lang w:val="en-GB"/>
        </w:rPr>
        <w:t xml:space="preserve"> [1993] 3 RCS 159. This essay considers that the Court ought not to enforce such claims, given the inherent public interest in maintaining the integrity of the legal system. </w:t>
      </w:r>
    </w:p>
    <w:p w14:paraId="2136AF9E" w14:textId="49FC0AA7" w:rsidR="00AF0274" w:rsidRPr="00AF0274" w:rsidRDefault="00AF0274" w:rsidP="00677CDA">
      <w:pPr>
        <w:spacing w:after="220"/>
        <w:jc w:val="both"/>
        <w:rPr>
          <w:sz w:val="24"/>
          <w:szCs w:val="24"/>
          <w:u w:val="single"/>
          <w:lang w:val="en-GB"/>
        </w:rPr>
      </w:pPr>
      <w:r>
        <w:rPr>
          <w:sz w:val="24"/>
          <w:szCs w:val="24"/>
          <w:u w:val="single"/>
          <w:lang w:val="en-GB"/>
        </w:rPr>
        <w:t>Inconsistency</w:t>
      </w:r>
    </w:p>
    <w:p w14:paraId="418CD38D" w14:textId="5B6792F1" w:rsidR="008D4757" w:rsidRDefault="0060085D" w:rsidP="00677CDA">
      <w:pPr>
        <w:spacing w:after="220"/>
        <w:jc w:val="both"/>
        <w:rPr>
          <w:sz w:val="24"/>
          <w:szCs w:val="24"/>
          <w:lang w:val="en-GB"/>
        </w:rPr>
      </w:pPr>
      <w:r>
        <w:rPr>
          <w:sz w:val="24"/>
          <w:szCs w:val="24"/>
          <w:lang w:val="en-GB"/>
        </w:rPr>
        <w:t>In c</w:t>
      </w:r>
      <w:r w:rsidR="00657379">
        <w:rPr>
          <w:sz w:val="24"/>
          <w:szCs w:val="24"/>
          <w:lang w:val="en-GB"/>
        </w:rPr>
        <w:t>ases of inconsistency between different contractual provisions</w:t>
      </w:r>
      <w:r>
        <w:rPr>
          <w:sz w:val="24"/>
          <w:szCs w:val="24"/>
          <w:lang w:val="en-GB"/>
        </w:rPr>
        <w:t xml:space="preserve">, </w:t>
      </w:r>
      <w:r w:rsidR="00657379">
        <w:rPr>
          <w:sz w:val="24"/>
          <w:szCs w:val="24"/>
          <w:lang w:val="en-GB"/>
        </w:rPr>
        <w:t>the only question is how best to give effect to the parties’ objective intention.</w:t>
      </w:r>
      <w:r>
        <w:rPr>
          <w:sz w:val="24"/>
          <w:szCs w:val="24"/>
          <w:lang w:val="en-GB"/>
        </w:rPr>
        <w:t xml:space="preserve"> This essay contends that </w:t>
      </w:r>
      <w:r>
        <w:rPr>
          <w:sz w:val="24"/>
          <w:szCs w:val="24"/>
          <w:lang w:val="en-GB"/>
        </w:rPr>
        <w:lastRenderedPageBreak/>
        <w:t>s</w:t>
      </w:r>
      <w:r w:rsidR="00657379">
        <w:rPr>
          <w:sz w:val="24"/>
          <w:szCs w:val="24"/>
          <w:lang w:val="en-GB"/>
        </w:rPr>
        <w:t>triking down a contractual provision in circumstances where it appears that it would otherwise defeat the very purpose of the parties’ agreement is justifiable in seeking to give effect to the patties’ intentions.</w:t>
      </w:r>
    </w:p>
    <w:p w14:paraId="653182BB" w14:textId="37712683" w:rsidR="00AF0274" w:rsidRPr="00AF0274" w:rsidRDefault="00AF0274" w:rsidP="00677CDA">
      <w:pPr>
        <w:spacing w:after="220"/>
        <w:jc w:val="both"/>
        <w:rPr>
          <w:sz w:val="24"/>
          <w:szCs w:val="24"/>
          <w:u w:val="single"/>
          <w:lang w:val="en-GB"/>
        </w:rPr>
      </w:pPr>
      <w:r>
        <w:rPr>
          <w:sz w:val="24"/>
          <w:szCs w:val="24"/>
          <w:u w:val="single"/>
          <w:lang w:val="en-GB"/>
        </w:rPr>
        <w:t>All other cases</w:t>
      </w:r>
    </w:p>
    <w:p w14:paraId="69842C31" w14:textId="4AB2E27A" w:rsidR="00351DA1" w:rsidRPr="0060085D" w:rsidRDefault="0060085D" w:rsidP="00677CDA">
      <w:pPr>
        <w:spacing w:after="220"/>
        <w:jc w:val="both"/>
        <w:rPr>
          <w:sz w:val="24"/>
          <w:szCs w:val="24"/>
          <w:lang w:val="en-GB"/>
        </w:rPr>
      </w:pPr>
      <w:r>
        <w:rPr>
          <w:sz w:val="24"/>
          <w:szCs w:val="24"/>
          <w:lang w:val="en-GB"/>
        </w:rPr>
        <w:t xml:space="preserve">The remaining categories of intervention </w:t>
      </w:r>
      <w:r w:rsidR="007E6C18">
        <w:rPr>
          <w:sz w:val="24"/>
          <w:szCs w:val="24"/>
          <w:lang w:val="en-GB"/>
        </w:rPr>
        <w:t xml:space="preserve">set out above </w:t>
      </w:r>
      <w:r w:rsidR="00523402">
        <w:rPr>
          <w:sz w:val="24"/>
          <w:szCs w:val="24"/>
          <w:lang w:val="en-GB"/>
        </w:rPr>
        <w:t>raise more difficult issues of legal philosophy</w:t>
      </w:r>
      <w:r>
        <w:rPr>
          <w:sz w:val="24"/>
          <w:szCs w:val="24"/>
          <w:lang w:val="en-GB"/>
        </w:rPr>
        <w:t>. Specifically, they demand</w:t>
      </w:r>
      <w:r w:rsidR="007604B9">
        <w:rPr>
          <w:sz w:val="24"/>
          <w:szCs w:val="24"/>
          <w:lang w:val="en-GB"/>
        </w:rPr>
        <w:t xml:space="preserve"> consideration of what the Courts ought to be doing when they are asked to determine contractual disputes</w:t>
      </w:r>
      <w:r w:rsidR="002A7606">
        <w:rPr>
          <w:sz w:val="24"/>
          <w:szCs w:val="24"/>
          <w:lang w:val="en-GB"/>
        </w:rPr>
        <w:t xml:space="preserve">. </w:t>
      </w:r>
      <w:r w:rsidR="002A7606">
        <w:rPr>
          <w:sz w:val="24"/>
          <w:szCs w:val="24"/>
        </w:rPr>
        <w:t>T</w:t>
      </w:r>
      <w:r w:rsidR="002A7606">
        <w:rPr>
          <w:sz w:val="24"/>
          <w:szCs w:val="24"/>
          <w:lang w:val="en-GB"/>
        </w:rPr>
        <w:t>he history of legal thought</w:t>
      </w:r>
      <w:r w:rsidR="002A7606">
        <w:rPr>
          <w:sz w:val="24"/>
          <w:szCs w:val="24"/>
        </w:rPr>
        <w:t xml:space="preserve"> on that issue</w:t>
      </w:r>
      <w:r w:rsidR="00B71CB8">
        <w:rPr>
          <w:sz w:val="24"/>
          <w:szCs w:val="24"/>
        </w:rPr>
        <w:t xml:space="preserve"> is particularly informative,</w:t>
      </w:r>
      <w:r w:rsidR="00EC5B4B">
        <w:rPr>
          <w:sz w:val="24"/>
          <w:szCs w:val="24"/>
        </w:rPr>
        <w:t xml:space="preserve"> because it provides an analytical framework within which to consider what the position ought to</w:t>
      </w:r>
      <w:r w:rsidR="00312B96">
        <w:rPr>
          <w:sz w:val="24"/>
          <w:szCs w:val="24"/>
        </w:rPr>
        <w:t xml:space="preserve"> be in the twenty-first century.</w:t>
      </w:r>
    </w:p>
    <w:p w14:paraId="3A468E76" w14:textId="242E045E" w:rsidR="00374005" w:rsidRPr="00AF0274" w:rsidRDefault="00637797" w:rsidP="00677CDA">
      <w:pPr>
        <w:spacing w:after="220"/>
        <w:jc w:val="both"/>
        <w:rPr>
          <w:i/>
          <w:sz w:val="24"/>
          <w:szCs w:val="24"/>
          <w:lang w:val="en-GB"/>
        </w:rPr>
      </w:pPr>
      <w:r>
        <w:rPr>
          <w:i/>
          <w:sz w:val="24"/>
          <w:szCs w:val="24"/>
          <w:lang w:val="en-GB"/>
        </w:rPr>
        <w:t>Historical c</w:t>
      </w:r>
      <w:r w:rsidR="00374005" w:rsidRPr="00AF0274">
        <w:rPr>
          <w:i/>
          <w:sz w:val="24"/>
          <w:szCs w:val="24"/>
          <w:lang w:val="en-GB"/>
        </w:rPr>
        <w:t>ontext</w:t>
      </w:r>
    </w:p>
    <w:p w14:paraId="6ADDCF7B" w14:textId="291142D1" w:rsidR="00D059A6" w:rsidRPr="00CF1B8B" w:rsidRDefault="00D059A6" w:rsidP="00677CDA">
      <w:pPr>
        <w:spacing w:after="220"/>
        <w:jc w:val="both"/>
        <w:rPr>
          <w:sz w:val="24"/>
          <w:szCs w:val="24"/>
          <w:lang w:val="en-GB"/>
        </w:rPr>
      </w:pPr>
      <w:r>
        <w:rPr>
          <w:sz w:val="24"/>
          <w:szCs w:val="24"/>
        </w:rPr>
        <w:t>I</w:t>
      </w:r>
      <w:r w:rsidR="001072D1">
        <w:rPr>
          <w:sz w:val="24"/>
          <w:szCs w:val="24"/>
        </w:rPr>
        <w:t xml:space="preserve">f one </w:t>
      </w:r>
      <w:r>
        <w:rPr>
          <w:sz w:val="24"/>
          <w:szCs w:val="24"/>
        </w:rPr>
        <w:t>had asked a c</w:t>
      </w:r>
      <w:r w:rsidR="009D39E3">
        <w:rPr>
          <w:sz w:val="24"/>
          <w:szCs w:val="24"/>
        </w:rPr>
        <w:t>ommon law jurist</w:t>
      </w:r>
      <w:r w:rsidR="00E35518">
        <w:rPr>
          <w:sz w:val="24"/>
          <w:szCs w:val="24"/>
          <w:lang w:val="en-GB"/>
        </w:rPr>
        <w:t xml:space="preserve"> back </w:t>
      </w:r>
      <w:r w:rsidR="00E35518">
        <w:rPr>
          <w:sz w:val="24"/>
          <w:szCs w:val="24"/>
        </w:rPr>
        <w:t>in the twelfth century</w:t>
      </w:r>
      <w:r w:rsidR="009D39E3">
        <w:rPr>
          <w:sz w:val="24"/>
          <w:szCs w:val="24"/>
        </w:rPr>
        <w:t xml:space="preserve"> </w:t>
      </w:r>
      <w:r w:rsidR="00E35518">
        <w:rPr>
          <w:sz w:val="24"/>
          <w:szCs w:val="24"/>
          <w:lang w:val="en-GB"/>
        </w:rPr>
        <w:t>what role the Courts should have in dealing with contractual disputes</w:t>
      </w:r>
      <w:r>
        <w:rPr>
          <w:sz w:val="24"/>
          <w:szCs w:val="24"/>
        </w:rPr>
        <w:t>, the answer would have been clear: quite sim</w:t>
      </w:r>
      <w:r w:rsidR="00C77030">
        <w:rPr>
          <w:sz w:val="24"/>
          <w:szCs w:val="24"/>
        </w:rPr>
        <w:t>ply, the Court had</w:t>
      </w:r>
      <w:r>
        <w:rPr>
          <w:sz w:val="24"/>
          <w:szCs w:val="24"/>
        </w:rPr>
        <w:t xml:space="preserve"> no such role. As Glanvill put it in around 1180AD: “it is not the custom of the court of the Lord King to protect private agreements”</w:t>
      </w:r>
      <w:r>
        <w:rPr>
          <w:rStyle w:val="FootnoteReference"/>
          <w:sz w:val="24"/>
          <w:szCs w:val="24"/>
        </w:rPr>
        <w:footnoteReference w:id="6"/>
      </w:r>
      <w:r>
        <w:rPr>
          <w:sz w:val="24"/>
          <w:szCs w:val="24"/>
        </w:rPr>
        <w:t>.</w:t>
      </w:r>
      <w:r w:rsidR="00C77030">
        <w:rPr>
          <w:sz w:val="24"/>
          <w:szCs w:val="24"/>
          <w:lang w:val="en-GB"/>
        </w:rPr>
        <w:t xml:space="preserve"> </w:t>
      </w:r>
      <w:r w:rsidR="00CA3343">
        <w:rPr>
          <w:sz w:val="24"/>
          <w:szCs w:val="24"/>
          <w:lang w:val="en-GB"/>
        </w:rPr>
        <w:t>That remained</w:t>
      </w:r>
      <w:r w:rsidR="00C77030">
        <w:rPr>
          <w:sz w:val="24"/>
          <w:szCs w:val="24"/>
          <w:lang w:val="en-GB"/>
        </w:rPr>
        <w:t xml:space="preserve"> broadly</w:t>
      </w:r>
      <w:r w:rsidR="00CA3343">
        <w:rPr>
          <w:sz w:val="24"/>
          <w:szCs w:val="24"/>
          <w:lang w:val="en-GB"/>
        </w:rPr>
        <w:t xml:space="preserve"> the position, at least insofar as informal agreements were concerned</w:t>
      </w:r>
      <w:r w:rsidR="000937D7">
        <w:rPr>
          <w:sz w:val="24"/>
          <w:szCs w:val="24"/>
          <w:lang w:val="en-GB"/>
        </w:rPr>
        <w:t xml:space="preserve">, until around the late </w:t>
      </w:r>
      <w:r w:rsidR="000937D7">
        <w:rPr>
          <w:sz w:val="24"/>
          <w:szCs w:val="24"/>
        </w:rPr>
        <w:t>fourteenth century</w:t>
      </w:r>
      <w:r w:rsidR="00CF1B8B">
        <w:rPr>
          <w:sz w:val="24"/>
          <w:szCs w:val="24"/>
          <w:lang w:val="en-GB"/>
        </w:rPr>
        <w:t xml:space="preserve"> when</w:t>
      </w:r>
      <w:r w:rsidR="00312B96">
        <w:rPr>
          <w:sz w:val="24"/>
          <w:szCs w:val="24"/>
          <w:lang w:val="en-GB"/>
        </w:rPr>
        <w:t xml:space="preserve"> the common law Courts adopted jurisdiction </w:t>
      </w:r>
      <w:r w:rsidR="00D31836">
        <w:rPr>
          <w:sz w:val="24"/>
          <w:szCs w:val="24"/>
        </w:rPr>
        <w:t>over cases</w:t>
      </w:r>
      <w:r w:rsidR="006C1D87">
        <w:rPr>
          <w:sz w:val="24"/>
          <w:szCs w:val="24"/>
        </w:rPr>
        <w:t xml:space="preserve"> </w:t>
      </w:r>
      <w:r w:rsidR="00CF1B8B">
        <w:rPr>
          <w:sz w:val="24"/>
          <w:szCs w:val="24"/>
        </w:rPr>
        <w:t xml:space="preserve">of </w:t>
      </w:r>
      <w:r w:rsidR="00CF1B8B">
        <w:rPr>
          <w:i/>
          <w:sz w:val="24"/>
          <w:szCs w:val="24"/>
        </w:rPr>
        <w:t>assumpsit</w:t>
      </w:r>
      <w:r w:rsidR="00CF1B8B">
        <w:rPr>
          <w:sz w:val="24"/>
          <w:szCs w:val="24"/>
          <w:lang w:val="en-GB"/>
        </w:rPr>
        <w:t>: see</w:t>
      </w:r>
      <w:r w:rsidR="00D31836">
        <w:rPr>
          <w:sz w:val="24"/>
          <w:szCs w:val="24"/>
          <w:lang w:val="en-GB"/>
        </w:rPr>
        <w:t xml:space="preserve"> </w:t>
      </w:r>
      <w:r w:rsidR="00D31836">
        <w:rPr>
          <w:i/>
          <w:sz w:val="24"/>
          <w:szCs w:val="24"/>
          <w:lang w:val="en-GB"/>
        </w:rPr>
        <w:t xml:space="preserve">Skyrne v Butolph </w:t>
      </w:r>
      <w:r w:rsidR="00D31836">
        <w:rPr>
          <w:sz w:val="24"/>
          <w:szCs w:val="24"/>
          <w:lang w:val="en-GB"/>
        </w:rPr>
        <w:t xml:space="preserve">(1388) </w:t>
      </w:r>
      <w:r w:rsidR="00F11399">
        <w:rPr>
          <w:sz w:val="24"/>
          <w:szCs w:val="24"/>
          <w:lang w:val="en-GB"/>
        </w:rPr>
        <w:t>YB 11 Ric 2 (Ames Foundation) 223</w:t>
      </w:r>
      <w:r w:rsidR="003A539B">
        <w:rPr>
          <w:rStyle w:val="FootnoteReference"/>
          <w:sz w:val="24"/>
          <w:szCs w:val="24"/>
          <w:lang w:val="en-GB"/>
        </w:rPr>
        <w:footnoteReference w:id="7"/>
      </w:r>
      <w:r w:rsidR="00F11399">
        <w:rPr>
          <w:sz w:val="24"/>
          <w:szCs w:val="24"/>
          <w:lang w:val="en-GB"/>
        </w:rPr>
        <w:t>.</w:t>
      </w:r>
      <w:r w:rsidR="00CF1B8B">
        <w:rPr>
          <w:sz w:val="24"/>
          <w:szCs w:val="24"/>
          <w:lang w:val="en-GB"/>
        </w:rPr>
        <w:t xml:space="preserve"> </w:t>
      </w:r>
    </w:p>
    <w:p w14:paraId="58635EF8" w14:textId="05EFDF91" w:rsidR="00AF0274" w:rsidRDefault="00CA3343" w:rsidP="00677CDA">
      <w:pPr>
        <w:spacing w:after="220"/>
        <w:jc w:val="both"/>
        <w:rPr>
          <w:sz w:val="24"/>
          <w:szCs w:val="24"/>
          <w:lang w:val="en-GB"/>
        </w:rPr>
      </w:pPr>
      <w:r>
        <w:rPr>
          <w:sz w:val="24"/>
          <w:szCs w:val="24"/>
          <w:lang w:val="en-GB"/>
        </w:rPr>
        <w:t>The common perception of the Court’s role in relation to contractual disputes could not have changed more radically by the</w:t>
      </w:r>
      <w:r w:rsidR="00C77030">
        <w:rPr>
          <w:sz w:val="24"/>
          <w:szCs w:val="24"/>
          <w:lang w:val="en-GB"/>
        </w:rPr>
        <w:t xml:space="preserve"> time the</w:t>
      </w:r>
      <w:r>
        <w:rPr>
          <w:sz w:val="24"/>
          <w:szCs w:val="24"/>
          <w:lang w:val="en-GB"/>
        </w:rPr>
        <w:t xml:space="preserve"> classical era of English contract law </w:t>
      </w:r>
      <w:r w:rsidR="00C77030">
        <w:rPr>
          <w:sz w:val="24"/>
          <w:szCs w:val="24"/>
          <w:lang w:val="en-GB"/>
        </w:rPr>
        <w:t xml:space="preserve">arrived </w:t>
      </w:r>
      <w:r>
        <w:rPr>
          <w:sz w:val="24"/>
          <w:szCs w:val="24"/>
          <w:lang w:val="en-GB"/>
        </w:rPr>
        <w:t>in</w:t>
      </w:r>
      <w:r w:rsidR="00D059A6">
        <w:rPr>
          <w:sz w:val="24"/>
          <w:szCs w:val="24"/>
          <w:lang w:val="en-GB"/>
        </w:rPr>
        <w:t xml:space="preserve"> the </w:t>
      </w:r>
      <w:r w:rsidR="0028075F">
        <w:rPr>
          <w:sz w:val="24"/>
          <w:szCs w:val="24"/>
          <w:lang w:val="en-GB"/>
        </w:rPr>
        <w:t>mid-</w:t>
      </w:r>
      <w:r w:rsidR="00D059A6">
        <w:rPr>
          <w:sz w:val="24"/>
          <w:szCs w:val="24"/>
          <w:lang w:val="en-GB"/>
        </w:rPr>
        <w:t>nineteenth cent</w:t>
      </w:r>
      <w:r w:rsidR="007C1696">
        <w:rPr>
          <w:sz w:val="24"/>
          <w:szCs w:val="24"/>
          <w:lang w:val="en-GB"/>
        </w:rPr>
        <w:t>ury</w:t>
      </w:r>
      <w:r w:rsidR="00D059A6">
        <w:rPr>
          <w:sz w:val="24"/>
          <w:szCs w:val="24"/>
          <w:lang w:val="en-GB"/>
        </w:rPr>
        <w:t>.</w:t>
      </w:r>
      <w:r w:rsidR="00AF0274">
        <w:rPr>
          <w:sz w:val="24"/>
          <w:szCs w:val="24"/>
          <w:lang w:val="en-GB"/>
        </w:rPr>
        <w:t xml:space="preserve"> Th</w:t>
      </w:r>
      <w:r w:rsidR="00523402">
        <w:rPr>
          <w:sz w:val="24"/>
          <w:szCs w:val="24"/>
          <w:lang w:val="en-GB"/>
        </w:rPr>
        <w:t xml:space="preserve">e </w:t>
      </w:r>
      <w:r w:rsidR="00BA14D7">
        <w:rPr>
          <w:sz w:val="24"/>
          <w:szCs w:val="24"/>
          <w:lang w:val="en-GB"/>
        </w:rPr>
        <w:t>ultimate</w:t>
      </w:r>
      <w:r w:rsidR="00523402">
        <w:rPr>
          <w:sz w:val="24"/>
          <w:szCs w:val="24"/>
          <w:lang w:val="en-GB"/>
        </w:rPr>
        <w:t xml:space="preserve"> drive towards pure freedom of contract most likely had its intellectual roots in the work of Sir Edward Coke, for whom a form of proto-economic liberalism sprung out of a desire for political freedom from the arbitrary power of the Crown</w:t>
      </w:r>
      <w:r w:rsidR="00AF0274">
        <w:rPr>
          <w:rStyle w:val="FootnoteReference"/>
          <w:sz w:val="24"/>
          <w:szCs w:val="24"/>
          <w:lang w:val="en-GB"/>
        </w:rPr>
        <w:footnoteReference w:id="8"/>
      </w:r>
      <w:r w:rsidR="00523402">
        <w:rPr>
          <w:sz w:val="24"/>
          <w:szCs w:val="24"/>
          <w:lang w:val="en-GB"/>
        </w:rPr>
        <w:t xml:space="preserve">. </w:t>
      </w:r>
    </w:p>
    <w:p w14:paraId="063D91C3" w14:textId="4924DE6B" w:rsidR="00523402" w:rsidRDefault="00523402" w:rsidP="00677CDA">
      <w:pPr>
        <w:spacing w:after="220"/>
        <w:jc w:val="both"/>
        <w:rPr>
          <w:sz w:val="24"/>
          <w:szCs w:val="24"/>
          <w:lang w:val="en-GB"/>
        </w:rPr>
      </w:pPr>
      <w:r>
        <w:rPr>
          <w:sz w:val="24"/>
          <w:szCs w:val="24"/>
          <w:lang w:val="en-GB"/>
        </w:rPr>
        <w:lastRenderedPageBreak/>
        <w:t>Taken together with the fact that both bar and bench were highly individualistic in nature (thus tending to foster belief in the virtues of freedom and enterprise)</w:t>
      </w:r>
      <w:r w:rsidR="00742EB4">
        <w:rPr>
          <w:rStyle w:val="FootnoteReference"/>
          <w:sz w:val="24"/>
          <w:szCs w:val="24"/>
          <w:lang w:val="en-GB"/>
        </w:rPr>
        <w:footnoteReference w:id="9"/>
      </w:r>
      <w:r>
        <w:rPr>
          <w:sz w:val="24"/>
          <w:szCs w:val="24"/>
          <w:lang w:val="en-GB"/>
        </w:rPr>
        <w:t xml:space="preserve">, those responsible for the development of contract law were ideologically receptive to the notion that parties’ bargains ought to be enforced wherever possible by the time the industrial revolution began in around 1760. </w:t>
      </w:r>
      <w:r w:rsidR="00BA14D7">
        <w:rPr>
          <w:sz w:val="24"/>
          <w:szCs w:val="24"/>
          <w:lang w:val="en-GB"/>
        </w:rPr>
        <w:t xml:space="preserve">Such receptiveness only grew </w:t>
      </w:r>
      <w:r>
        <w:rPr>
          <w:sz w:val="24"/>
          <w:szCs w:val="24"/>
          <w:lang w:val="en-GB"/>
        </w:rPr>
        <w:t>once it became clear that significant social and economic development could be encouraged through the promotion of a highly individualistic market economy</w:t>
      </w:r>
      <w:r w:rsidR="0027283D">
        <w:rPr>
          <w:sz w:val="24"/>
          <w:szCs w:val="24"/>
          <w:lang w:val="en-GB"/>
        </w:rPr>
        <w:t xml:space="preserve"> (</w:t>
      </w:r>
      <w:r>
        <w:rPr>
          <w:sz w:val="24"/>
          <w:szCs w:val="24"/>
          <w:lang w:val="en-GB"/>
        </w:rPr>
        <w:t xml:space="preserve">in which </w:t>
      </w:r>
      <w:r w:rsidR="00AF0274">
        <w:rPr>
          <w:sz w:val="24"/>
          <w:szCs w:val="24"/>
          <w:lang w:val="en-GB"/>
        </w:rPr>
        <w:t>prior restrictions on the mobility of capital and labour were swept away</w:t>
      </w:r>
      <w:r w:rsidR="00742EB4">
        <w:rPr>
          <w:rStyle w:val="FootnoteReference"/>
          <w:sz w:val="24"/>
          <w:szCs w:val="24"/>
          <w:lang w:val="en-GB"/>
        </w:rPr>
        <w:footnoteReference w:id="10"/>
      </w:r>
      <w:r w:rsidR="0027283D">
        <w:rPr>
          <w:sz w:val="24"/>
          <w:szCs w:val="24"/>
          <w:lang w:val="en-GB"/>
        </w:rPr>
        <w:t>) and throug</w:t>
      </w:r>
      <w:r w:rsidR="00B27401">
        <w:rPr>
          <w:sz w:val="24"/>
          <w:szCs w:val="24"/>
          <w:lang w:val="en-GB"/>
        </w:rPr>
        <w:t>h the protection of autonomy in individuals’ increasingly important</w:t>
      </w:r>
      <w:r w:rsidR="0027283D">
        <w:rPr>
          <w:sz w:val="24"/>
          <w:szCs w:val="24"/>
          <w:lang w:val="en-GB"/>
        </w:rPr>
        <w:t xml:space="preserve"> private contracts</w:t>
      </w:r>
      <w:r w:rsidR="00BA14D7">
        <w:rPr>
          <w:rStyle w:val="FootnoteReference"/>
          <w:sz w:val="24"/>
          <w:szCs w:val="24"/>
          <w:lang w:val="en-GB"/>
        </w:rPr>
        <w:footnoteReference w:id="11"/>
      </w:r>
      <w:r w:rsidR="00742EB4">
        <w:rPr>
          <w:sz w:val="24"/>
          <w:szCs w:val="24"/>
          <w:lang w:val="en-GB"/>
        </w:rPr>
        <w:t>.</w:t>
      </w:r>
    </w:p>
    <w:p w14:paraId="2FDA6F6A" w14:textId="5A6E2A42" w:rsidR="00B27401" w:rsidRDefault="00BD39AC" w:rsidP="003B3CDA">
      <w:pPr>
        <w:spacing w:after="220"/>
        <w:jc w:val="both"/>
        <w:rPr>
          <w:sz w:val="24"/>
          <w:szCs w:val="24"/>
          <w:lang w:val="en-GB"/>
        </w:rPr>
      </w:pPr>
      <w:r>
        <w:rPr>
          <w:sz w:val="24"/>
          <w:szCs w:val="24"/>
          <w:lang w:val="en-GB"/>
        </w:rPr>
        <w:t>Even at the height of classical contract theory in around 1870, t</w:t>
      </w:r>
      <w:r w:rsidR="00811F0B">
        <w:rPr>
          <w:sz w:val="24"/>
          <w:szCs w:val="24"/>
          <w:lang w:val="en-GB"/>
        </w:rPr>
        <w:t xml:space="preserve">here never existed a truly </w:t>
      </w:r>
      <w:r w:rsidR="00811F0B">
        <w:rPr>
          <w:i/>
          <w:sz w:val="24"/>
          <w:szCs w:val="24"/>
          <w:lang w:val="en-GB"/>
        </w:rPr>
        <w:t>laissez-faire</w:t>
      </w:r>
      <w:r w:rsidR="00811F0B">
        <w:rPr>
          <w:sz w:val="24"/>
          <w:szCs w:val="24"/>
          <w:lang w:val="en-GB"/>
        </w:rPr>
        <w:t xml:space="preserve"> system of government in England; that was</w:t>
      </w:r>
      <w:r>
        <w:rPr>
          <w:sz w:val="24"/>
          <w:szCs w:val="24"/>
          <w:lang w:val="en-GB"/>
        </w:rPr>
        <w:t xml:space="preserve"> - and remains</w:t>
      </w:r>
      <w:r w:rsidR="00811F0B">
        <w:rPr>
          <w:sz w:val="24"/>
          <w:szCs w:val="24"/>
          <w:lang w:val="en-GB"/>
        </w:rPr>
        <w:t xml:space="preserve"> </w:t>
      </w:r>
      <w:r>
        <w:rPr>
          <w:sz w:val="24"/>
          <w:szCs w:val="24"/>
          <w:lang w:val="en-GB"/>
        </w:rPr>
        <w:t xml:space="preserve">- a myth </w:t>
      </w:r>
      <w:r w:rsidR="00BA14D7">
        <w:rPr>
          <w:sz w:val="24"/>
          <w:szCs w:val="24"/>
          <w:lang w:val="en-GB"/>
        </w:rPr>
        <w:t xml:space="preserve">originally </w:t>
      </w:r>
      <w:r>
        <w:rPr>
          <w:sz w:val="24"/>
          <w:szCs w:val="24"/>
          <w:lang w:val="en-GB"/>
        </w:rPr>
        <w:t>propagated by Dicey</w:t>
      </w:r>
      <w:r>
        <w:rPr>
          <w:rStyle w:val="FootnoteReference"/>
          <w:sz w:val="24"/>
          <w:szCs w:val="24"/>
          <w:lang w:val="en-GB"/>
        </w:rPr>
        <w:footnoteReference w:id="12"/>
      </w:r>
      <w:r>
        <w:rPr>
          <w:sz w:val="24"/>
          <w:szCs w:val="24"/>
          <w:lang w:val="en-GB"/>
        </w:rPr>
        <w:t xml:space="preserve">. </w:t>
      </w:r>
      <w:r w:rsidR="00811F0B">
        <w:rPr>
          <w:sz w:val="24"/>
          <w:szCs w:val="24"/>
          <w:lang w:val="en-GB"/>
        </w:rPr>
        <w:t xml:space="preserve">However, </w:t>
      </w:r>
      <w:r>
        <w:rPr>
          <w:sz w:val="24"/>
          <w:szCs w:val="24"/>
          <w:lang w:val="en-GB"/>
        </w:rPr>
        <w:t>there is n</w:t>
      </w:r>
      <w:r w:rsidR="00742EB4">
        <w:rPr>
          <w:sz w:val="24"/>
          <w:szCs w:val="24"/>
          <w:lang w:val="en-GB"/>
        </w:rPr>
        <w:t xml:space="preserve">o doubt </w:t>
      </w:r>
      <w:r>
        <w:rPr>
          <w:sz w:val="24"/>
          <w:szCs w:val="24"/>
          <w:lang w:val="en-GB"/>
        </w:rPr>
        <w:t xml:space="preserve">that </w:t>
      </w:r>
      <w:r w:rsidR="00742EB4">
        <w:rPr>
          <w:sz w:val="24"/>
          <w:szCs w:val="24"/>
          <w:lang w:val="en-GB"/>
        </w:rPr>
        <w:t>the gradual rise of freedom of contract was</w:t>
      </w:r>
      <w:r w:rsidR="00B27401">
        <w:rPr>
          <w:sz w:val="24"/>
          <w:szCs w:val="24"/>
          <w:lang w:val="en-GB"/>
        </w:rPr>
        <w:t>, by that time,</w:t>
      </w:r>
      <w:r w:rsidR="00742EB4">
        <w:rPr>
          <w:sz w:val="24"/>
          <w:szCs w:val="24"/>
          <w:lang w:val="en-GB"/>
        </w:rPr>
        <w:t xml:space="preserve"> influenced by the works of Adam Smith and his belief that freedom of contract was not only beneficial to the individual but also</w:t>
      </w:r>
      <w:r>
        <w:rPr>
          <w:sz w:val="24"/>
          <w:szCs w:val="24"/>
          <w:lang w:val="en-GB"/>
        </w:rPr>
        <w:t xml:space="preserve"> </w:t>
      </w:r>
      <w:r w:rsidR="00742EB4">
        <w:rPr>
          <w:sz w:val="24"/>
          <w:szCs w:val="24"/>
          <w:lang w:val="en-GB"/>
        </w:rPr>
        <w:t xml:space="preserve">to the promotion of the public interest. </w:t>
      </w:r>
    </w:p>
    <w:p w14:paraId="0E548A2D" w14:textId="69F0F831" w:rsidR="003B3CDA" w:rsidRDefault="00BD39AC" w:rsidP="003B3CDA">
      <w:pPr>
        <w:spacing w:after="220"/>
        <w:jc w:val="both"/>
        <w:rPr>
          <w:sz w:val="24"/>
          <w:szCs w:val="24"/>
          <w:lang w:val="en-GB"/>
        </w:rPr>
      </w:pPr>
      <w:r>
        <w:rPr>
          <w:sz w:val="24"/>
          <w:szCs w:val="24"/>
          <w:lang w:val="en-GB"/>
        </w:rPr>
        <w:t>Judgments from that period show that the courts had an atomistic view of the nature of the relatively new market economy, and that they repeatedly refused to strike down agreements despite the fact that they smacked of monopoly power and restraint of trade</w:t>
      </w:r>
      <w:r>
        <w:rPr>
          <w:rStyle w:val="FootnoteReference"/>
          <w:sz w:val="24"/>
          <w:szCs w:val="24"/>
          <w:lang w:val="en-GB"/>
        </w:rPr>
        <w:footnoteReference w:id="13"/>
      </w:r>
      <w:r>
        <w:rPr>
          <w:sz w:val="24"/>
          <w:szCs w:val="24"/>
          <w:lang w:val="en-GB"/>
        </w:rPr>
        <w:t xml:space="preserve">. </w:t>
      </w:r>
      <w:r w:rsidR="003B3CDA">
        <w:rPr>
          <w:sz w:val="24"/>
          <w:szCs w:val="24"/>
          <w:lang w:val="en-GB"/>
        </w:rPr>
        <w:t xml:space="preserve">Nowhere was freedom of contract more celebrated than in </w:t>
      </w:r>
      <w:r w:rsidR="003B3CDA">
        <w:rPr>
          <w:i/>
          <w:sz w:val="24"/>
          <w:szCs w:val="24"/>
          <w:lang w:val="en-GB"/>
        </w:rPr>
        <w:t>Printing and Numerical Registering Co v Sampson</w:t>
      </w:r>
      <w:r w:rsidR="003B3CDA">
        <w:rPr>
          <w:sz w:val="24"/>
          <w:szCs w:val="24"/>
          <w:lang w:val="en-GB"/>
        </w:rPr>
        <w:t xml:space="preserve"> (1875) LR 19 Eq 462, where Sir George Jessel held that:</w:t>
      </w:r>
    </w:p>
    <w:p w14:paraId="6D72D7EB" w14:textId="68296721" w:rsidR="005F4165" w:rsidRDefault="003B3CDA" w:rsidP="003B3CDA">
      <w:pPr>
        <w:spacing w:after="220" w:line="240" w:lineRule="auto"/>
        <w:ind w:left="1077" w:right="1372"/>
        <w:jc w:val="both"/>
        <w:rPr>
          <w:i/>
          <w:sz w:val="24"/>
          <w:szCs w:val="24"/>
        </w:rPr>
      </w:pPr>
      <w:r w:rsidRPr="00E8281C">
        <w:rPr>
          <w:i/>
          <w:sz w:val="24"/>
          <w:szCs w:val="24"/>
        </w:rPr>
        <w:t>“… if there is one thing which more than another public policy requires it is that men of full age and competent understanding shall have the utmost liberty of contracting, and that their contracts when entered into freely and voluntarily shall be held sacred and shall be enforced by Courts of justice.”</w:t>
      </w:r>
    </w:p>
    <w:p w14:paraId="061A33D5" w14:textId="77777777" w:rsidR="00606579" w:rsidRDefault="00606579" w:rsidP="003B3CDA">
      <w:pPr>
        <w:spacing w:after="220" w:line="240" w:lineRule="auto"/>
        <w:ind w:left="1077" w:right="1372"/>
        <w:jc w:val="both"/>
        <w:rPr>
          <w:sz w:val="24"/>
          <w:szCs w:val="24"/>
          <w:lang w:val="en-GB"/>
        </w:rPr>
      </w:pPr>
    </w:p>
    <w:p w14:paraId="11D77E8A" w14:textId="1908F16C" w:rsidR="00B27401" w:rsidRDefault="00BD39AC" w:rsidP="00BD39AC">
      <w:pPr>
        <w:spacing w:after="220"/>
        <w:jc w:val="both"/>
        <w:rPr>
          <w:sz w:val="24"/>
          <w:szCs w:val="24"/>
          <w:lang w:val="en-GB"/>
        </w:rPr>
      </w:pPr>
      <w:r>
        <w:rPr>
          <w:sz w:val="24"/>
          <w:szCs w:val="24"/>
          <w:lang w:val="en-GB"/>
        </w:rPr>
        <w:lastRenderedPageBreak/>
        <w:t>In the period immediately following on from the industrial revolution, it may have been justifiable for the courts to take such an approach, since there was intense competition between businesses and monopolies did not tend to flourish for very long</w:t>
      </w:r>
      <w:r>
        <w:rPr>
          <w:rStyle w:val="FootnoteReference"/>
          <w:sz w:val="24"/>
          <w:szCs w:val="24"/>
          <w:lang w:val="en-GB"/>
        </w:rPr>
        <w:footnoteReference w:id="14"/>
      </w:r>
      <w:r>
        <w:rPr>
          <w:sz w:val="24"/>
          <w:szCs w:val="24"/>
          <w:lang w:val="en-GB"/>
        </w:rPr>
        <w:t>. However, by the 1890s</w:t>
      </w:r>
      <w:r w:rsidR="00B27401">
        <w:rPr>
          <w:sz w:val="24"/>
          <w:szCs w:val="24"/>
          <w:lang w:val="en-GB"/>
        </w:rPr>
        <w:t>,</w:t>
      </w:r>
      <w:r>
        <w:rPr>
          <w:sz w:val="24"/>
          <w:szCs w:val="24"/>
          <w:lang w:val="en-GB"/>
        </w:rPr>
        <w:t xml:space="preserve"> industrial power was becoming increasingly concentrated and</w:t>
      </w:r>
      <w:r w:rsidR="003B3CDA">
        <w:rPr>
          <w:sz w:val="24"/>
          <w:szCs w:val="24"/>
          <w:lang w:val="en-GB"/>
        </w:rPr>
        <w:t>,</w:t>
      </w:r>
      <w:r>
        <w:rPr>
          <w:sz w:val="24"/>
          <w:szCs w:val="24"/>
          <w:lang w:val="en-GB"/>
        </w:rPr>
        <w:t xml:space="preserve"> in the years that followed</w:t>
      </w:r>
      <w:r w:rsidR="003B3CDA">
        <w:rPr>
          <w:sz w:val="24"/>
          <w:szCs w:val="24"/>
          <w:lang w:val="en-GB"/>
        </w:rPr>
        <w:t>,</w:t>
      </w:r>
      <w:r>
        <w:rPr>
          <w:sz w:val="24"/>
          <w:szCs w:val="24"/>
          <w:lang w:val="en-GB"/>
        </w:rPr>
        <w:t xml:space="preserve"> economic theory struggled to keep pace with the fact that “oligopoly and monopoly and anti-competitive Trade Associations existed in almost every industry throughout the length and breadth of the </w:t>
      </w:r>
      <w:r w:rsidR="003B3CDA">
        <w:rPr>
          <w:sz w:val="24"/>
          <w:szCs w:val="24"/>
          <w:lang w:val="en-GB"/>
        </w:rPr>
        <w:t>country”</w:t>
      </w:r>
      <w:r w:rsidR="00BA14D7">
        <w:rPr>
          <w:rStyle w:val="FootnoteReference"/>
          <w:sz w:val="24"/>
          <w:szCs w:val="24"/>
          <w:lang w:val="en-GB"/>
        </w:rPr>
        <w:footnoteReference w:id="15"/>
      </w:r>
      <w:r w:rsidR="003B3CDA">
        <w:rPr>
          <w:sz w:val="24"/>
          <w:szCs w:val="24"/>
          <w:lang w:val="en-GB"/>
        </w:rPr>
        <w:t xml:space="preserve">. </w:t>
      </w:r>
    </w:p>
    <w:p w14:paraId="3606E836" w14:textId="03BD9393" w:rsidR="00B27401" w:rsidRDefault="00B27401" w:rsidP="00BD39AC">
      <w:pPr>
        <w:spacing w:after="220"/>
        <w:jc w:val="both"/>
        <w:rPr>
          <w:sz w:val="24"/>
          <w:szCs w:val="24"/>
          <w:lang w:val="en-GB"/>
        </w:rPr>
      </w:pPr>
      <w:r>
        <w:rPr>
          <w:sz w:val="24"/>
          <w:szCs w:val="24"/>
          <w:lang w:val="en-GB"/>
        </w:rPr>
        <w:t>During</w:t>
      </w:r>
      <w:r w:rsidR="003B3CDA">
        <w:rPr>
          <w:sz w:val="24"/>
          <w:szCs w:val="24"/>
          <w:lang w:val="en-GB"/>
        </w:rPr>
        <w:t xml:space="preserve"> the inter-war years, both economists and lawyers came to recognise that economic reality and</w:t>
      </w:r>
      <w:r>
        <w:rPr>
          <w:sz w:val="24"/>
          <w:szCs w:val="24"/>
          <w:lang w:val="en-GB"/>
        </w:rPr>
        <w:t>, further,</w:t>
      </w:r>
      <w:r w:rsidR="003B3CDA">
        <w:rPr>
          <w:sz w:val="24"/>
          <w:szCs w:val="24"/>
          <w:lang w:val="en-GB"/>
        </w:rPr>
        <w:t xml:space="preserve"> to acknowledge that consumers </w:t>
      </w:r>
      <w:r w:rsidR="0027283D">
        <w:rPr>
          <w:sz w:val="24"/>
          <w:szCs w:val="24"/>
          <w:lang w:val="en-GB"/>
        </w:rPr>
        <w:t xml:space="preserve">very often </w:t>
      </w:r>
      <w:r w:rsidR="003B3CDA">
        <w:rPr>
          <w:sz w:val="24"/>
          <w:szCs w:val="24"/>
          <w:lang w:val="en-GB"/>
        </w:rPr>
        <w:t xml:space="preserve">did not have the requisite level of knowledge to sustain the theory of perfect competition </w:t>
      </w:r>
      <w:r>
        <w:rPr>
          <w:sz w:val="24"/>
          <w:szCs w:val="24"/>
          <w:lang w:val="en-GB"/>
        </w:rPr>
        <w:t>that lay at the heart of</w:t>
      </w:r>
      <w:r w:rsidR="003B3CDA">
        <w:rPr>
          <w:sz w:val="24"/>
          <w:szCs w:val="24"/>
          <w:lang w:val="en-GB"/>
        </w:rPr>
        <w:t xml:space="preserve"> the classical mo</w:t>
      </w:r>
      <w:r w:rsidR="0027283D">
        <w:rPr>
          <w:sz w:val="24"/>
          <w:szCs w:val="24"/>
          <w:lang w:val="en-GB"/>
        </w:rPr>
        <w:t>del of contract.</w:t>
      </w:r>
      <w:r>
        <w:rPr>
          <w:sz w:val="24"/>
          <w:szCs w:val="24"/>
          <w:lang w:val="en-GB"/>
        </w:rPr>
        <w:t xml:space="preserve"> </w:t>
      </w:r>
      <w:r w:rsidR="0027283D">
        <w:rPr>
          <w:sz w:val="24"/>
          <w:szCs w:val="24"/>
          <w:lang w:val="en-GB"/>
        </w:rPr>
        <w:t xml:space="preserve">Those twin developments largely destroyed any lingering faith in a </w:t>
      </w:r>
      <w:r w:rsidR="0027283D">
        <w:rPr>
          <w:i/>
          <w:sz w:val="24"/>
          <w:szCs w:val="24"/>
          <w:lang w:val="en-GB"/>
        </w:rPr>
        <w:t>laissez-faire</w:t>
      </w:r>
      <w:r w:rsidR="0027283D">
        <w:rPr>
          <w:sz w:val="24"/>
          <w:szCs w:val="24"/>
          <w:lang w:val="en-GB"/>
        </w:rPr>
        <w:t xml:space="preserve"> approach to contract law by the end of the First World War</w:t>
      </w:r>
      <w:r w:rsidR="00BA14D7">
        <w:rPr>
          <w:rStyle w:val="FootnoteReference"/>
          <w:sz w:val="24"/>
          <w:szCs w:val="24"/>
          <w:lang w:val="en-GB"/>
        </w:rPr>
        <w:footnoteReference w:id="16"/>
      </w:r>
      <w:r w:rsidR="0027283D">
        <w:rPr>
          <w:sz w:val="24"/>
          <w:szCs w:val="24"/>
          <w:lang w:val="en-GB"/>
        </w:rPr>
        <w:t xml:space="preserve">. </w:t>
      </w:r>
    </w:p>
    <w:p w14:paraId="2AF022E3" w14:textId="66FC0111" w:rsidR="005017A3" w:rsidRPr="00DA04EE" w:rsidRDefault="0027283D" w:rsidP="00B27401">
      <w:pPr>
        <w:spacing w:after="220"/>
        <w:jc w:val="both"/>
        <w:rPr>
          <w:sz w:val="24"/>
          <w:szCs w:val="24"/>
          <w:lang w:val="en-GB"/>
        </w:rPr>
      </w:pPr>
      <w:r>
        <w:rPr>
          <w:sz w:val="24"/>
          <w:szCs w:val="24"/>
          <w:lang w:val="en-GB"/>
        </w:rPr>
        <w:t xml:space="preserve">The </w:t>
      </w:r>
      <w:r>
        <w:rPr>
          <w:i/>
          <w:sz w:val="24"/>
          <w:szCs w:val="24"/>
          <w:lang w:val="en-GB"/>
        </w:rPr>
        <w:t xml:space="preserve">coup de grâce </w:t>
      </w:r>
      <w:r w:rsidR="00B27401">
        <w:rPr>
          <w:sz w:val="24"/>
          <w:szCs w:val="24"/>
          <w:lang w:val="en-GB"/>
        </w:rPr>
        <w:t xml:space="preserve">for freedom of contract </w:t>
      </w:r>
      <w:r>
        <w:rPr>
          <w:sz w:val="24"/>
          <w:szCs w:val="24"/>
          <w:lang w:val="en-GB"/>
        </w:rPr>
        <w:t xml:space="preserve">came in 1936 when Keynes’ </w:t>
      </w:r>
      <w:r>
        <w:rPr>
          <w:i/>
          <w:sz w:val="24"/>
          <w:szCs w:val="24"/>
          <w:lang w:val="en-GB"/>
        </w:rPr>
        <w:t>General Theory</w:t>
      </w:r>
      <w:r>
        <w:rPr>
          <w:sz w:val="24"/>
          <w:szCs w:val="24"/>
          <w:lang w:val="en-GB"/>
        </w:rPr>
        <w:t xml:space="preserve"> argued forcefully that individuals were often too weak or too ignorant to protect their own interests against big business, let alone to act in the public interest</w:t>
      </w:r>
      <w:r w:rsidR="00BA14D7">
        <w:rPr>
          <w:rStyle w:val="FootnoteReference"/>
          <w:sz w:val="24"/>
          <w:szCs w:val="24"/>
          <w:lang w:val="en-GB"/>
        </w:rPr>
        <w:footnoteReference w:id="17"/>
      </w:r>
      <w:r>
        <w:rPr>
          <w:sz w:val="24"/>
          <w:szCs w:val="24"/>
          <w:lang w:val="en-GB"/>
        </w:rPr>
        <w:t xml:space="preserve">.  </w:t>
      </w:r>
      <w:r w:rsidR="00B27401">
        <w:rPr>
          <w:sz w:val="24"/>
          <w:szCs w:val="24"/>
          <w:lang w:val="en-GB"/>
        </w:rPr>
        <w:t>Since then,</w:t>
      </w:r>
      <w:r w:rsidR="00412A18">
        <w:rPr>
          <w:sz w:val="24"/>
          <w:szCs w:val="24"/>
          <w:lang w:val="en-GB"/>
        </w:rPr>
        <w:t xml:space="preserve"> significant inroads </w:t>
      </w:r>
      <w:r w:rsidR="00B27401">
        <w:rPr>
          <w:sz w:val="24"/>
          <w:szCs w:val="24"/>
          <w:lang w:val="en-GB"/>
        </w:rPr>
        <w:t xml:space="preserve">have been </w:t>
      </w:r>
      <w:r w:rsidR="00412A18">
        <w:rPr>
          <w:sz w:val="24"/>
          <w:szCs w:val="24"/>
          <w:lang w:val="en-GB"/>
        </w:rPr>
        <w:t>made into the doctrinal purity of freedom of contract</w:t>
      </w:r>
      <w:r w:rsidR="001610A9">
        <w:rPr>
          <w:sz w:val="24"/>
          <w:szCs w:val="24"/>
          <w:lang w:val="en-GB"/>
        </w:rPr>
        <w:t xml:space="preserve">. </w:t>
      </w:r>
      <w:r w:rsidR="00B27401">
        <w:rPr>
          <w:sz w:val="24"/>
          <w:szCs w:val="24"/>
          <w:lang w:val="en-GB"/>
        </w:rPr>
        <w:t>Perhaps the most eloquent example of the rationale behind such inroads comes from</w:t>
      </w:r>
      <w:r w:rsidR="00DA04EE">
        <w:rPr>
          <w:sz w:val="24"/>
          <w:szCs w:val="24"/>
          <w:lang w:val="en-GB"/>
        </w:rPr>
        <w:t xml:space="preserve"> Lord</w:t>
      </w:r>
      <w:r w:rsidR="005017A3">
        <w:rPr>
          <w:sz w:val="24"/>
          <w:szCs w:val="24"/>
          <w:lang w:val="en-GB"/>
        </w:rPr>
        <w:t xml:space="preserve"> Denning </w:t>
      </w:r>
      <w:r w:rsidR="00DA04EE">
        <w:rPr>
          <w:sz w:val="24"/>
          <w:szCs w:val="24"/>
          <w:lang w:val="en-GB"/>
        </w:rPr>
        <w:t>MR</w:t>
      </w:r>
      <w:r w:rsidR="00B27401">
        <w:rPr>
          <w:sz w:val="24"/>
          <w:szCs w:val="24"/>
          <w:lang w:val="en-GB"/>
        </w:rPr>
        <w:t>, who</w:t>
      </w:r>
      <w:r w:rsidR="00DA04EE">
        <w:rPr>
          <w:sz w:val="24"/>
          <w:szCs w:val="24"/>
          <w:lang w:val="en-GB"/>
        </w:rPr>
        <w:t xml:space="preserve"> </w:t>
      </w:r>
      <w:r w:rsidR="005017A3">
        <w:rPr>
          <w:sz w:val="24"/>
          <w:szCs w:val="24"/>
          <w:lang w:val="en-GB"/>
        </w:rPr>
        <w:t>held</w:t>
      </w:r>
      <w:r w:rsidR="00B27401">
        <w:rPr>
          <w:sz w:val="24"/>
          <w:szCs w:val="24"/>
          <w:lang w:val="en-GB"/>
        </w:rPr>
        <w:t xml:space="preserve"> as follows</w:t>
      </w:r>
      <w:r w:rsidR="005017A3">
        <w:rPr>
          <w:sz w:val="24"/>
          <w:szCs w:val="24"/>
          <w:lang w:val="en-GB"/>
        </w:rPr>
        <w:t xml:space="preserve"> i</w:t>
      </w:r>
      <w:r w:rsidR="00DA04EE">
        <w:rPr>
          <w:sz w:val="24"/>
          <w:szCs w:val="24"/>
          <w:lang w:val="en-GB"/>
        </w:rPr>
        <w:t xml:space="preserve">n </w:t>
      </w:r>
      <w:r w:rsidR="00DA04EE">
        <w:rPr>
          <w:i/>
          <w:sz w:val="24"/>
          <w:szCs w:val="24"/>
          <w:lang w:val="en-GB"/>
        </w:rPr>
        <w:t>George Mitchell v Finney Lock Seeds</w:t>
      </w:r>
      <w:r w:rsidR="00DA04EE">
        <w:rPr>
          <w:sz w:val="24"/>
          <w:szCs w:val="24"/>
          <w:lang w:val="en-GB"/>
        </w:rPr>
        <w:t xml:space="preserve"> [</w:t>
      </w:r>
      <w:r w:rsidR="00001DF5">
        <w:rPr>
          <w:sz w:val="24"/>
          <w:szCs w:val="24"/>
          <w:lang w:val="en-GB"/>
        </w:rPr>
        <w:t>1983] 2 AC 803:</w:t>
      </w:r>
    </w:p>
    <w:p w14:paraId="4EE6C8ED" w14:textId="036BD8B1" w:rsidR="006C4764" w:rsidRPr="006C4764" w:rsidRDefault="00B27401" w:rsidP="00B27401">
      <w:pPr>
        <w:spacing w:after="220" w:line="240" w:lineRule="auto"/>
        <w:ind w:left="720" w:right="1457"/>
        <w:jc w:val="both"/>
        <w:rPr>
          <w:i/>
          <w:sz w:val="24"/>
          <w:szCs w:val="24"/>
          <w:lang w:val="en-GB"/>
        </w:rPr>
      </w:pPr>
      <w:r>
        <w:rPr>
          <w:i/>
          <w:sz w:val="24"/>
          <w:szCs w:val="24"/>
          <w:lang w:val="en-GB"/>
        </w:rPr>
        <w:t>“</w:t>
      </w:r>
      <w:r w:rsidR="00001DF5" w:rsidRPr="00001DF5">
        <w:rPr>
          <w:i/>
          <w:sz w:val="24"/>
          <w:szCs w:val="24"/>
          <w:lang w:val="en-GB"/>
        </w:rPr>
        <w:t xml:space="preserve">None of you nowadays will remember the trouble we had - when I was called to the Bar - with exemption clauses. They were printed in small print on the back of tickets and order forms and invoices. They were contained in catalogues or timetables. They were held to be binding on any person who took them without objection. No one ever did object. He never read them or knew what was in them. No matter how unreasonable they were, he was bound. All this was done in the name of "freedom of contract." But the freedom was all on the side of the big concern which had the use of the printing press. No freedom for the little man who took the ticket or order form or invoice. The big </w:t>
      </w:r>
      <w:r w:rsidR="00001DF5" w:rsidRPr="00001DF5">
        <w:rPr>
          <w:i/>
          <w:sz w:val="24"/>
          <w:szCs w:val="24"/>
          <w:lang w:val="en-GB"/>
        </w:rPr>
        <w:lastRenderedPageBreak/>
        <w:t>concern said, "Take it or leave it." The little ma</w:t>
      </w:r>
      <w:r>
        <w:rPr>
          <w:i/>
          <w:sz w:val="24"/>
          <w:szCs w:val="24"/>
          <w:lang w:val="en-GB"/>
        </w:rPr>
        <w:t>n had no option but to take it.”</w:t>
      </w:r>
    </w:p>
    <w:p w14:paraId="1BA0E266" w14:textId="77777777" w:rsidR="00606579" w:rsidRDefault="00606579" w:rsidP="00677CDA">
      <w:pPr>
        <w:spacing w:after="220"/>
        <w:ind w:right="20"/>
        <w:jc w:val="both"/>
        <w:rPr>
          <w:i/>
          <w:sz w:val="24"/>
          <w:szCs w:val="24"/>
          <w:lang w:val="en-GB"/>
        </w:rPr>
      </w:pPr>
    </w:p>
    <w:p w14:paraId="460B4AEF" w14:textId="15C758A8" w:rsidR="00374005" w:rsidRPr="00AF0274" w:rsidRDefault="00606579" w:rsidP="00677CDA">
      <w:pPr>
        <w:spacing w:after="220"/>
        <w:ind w:right="20"/>
        <w:jc w:val="both"/>
        <w:rPr>
          <w:i/>
          <w:sz w:val="24"/>
          <w:szCs w:val="24"/>
          <w:lang w:val="en-GB"/>
        </w:rPr>
      </w:pPr>
      <w:r>
        <w:rPr>
          <w:i/>
          <w:sz w:val="24"/>
          <w:szCs w:val="24"/>
          <w:lang w:val="en-GB"/>
        </w:rPr>
        <w:t>The p</w:t>
      </w:r>
      <w:r w:rsidR="00637797">
        <w:rPr>
          <w:i/>
          <w:sz w:val="24"/>
          <w:szCs w:val="24"/>
          <w:lang w:val="en-GB"/>
        </w:rPr>
        <w:t>resent d</w:t>
      </w:r>
      <w:r w:rsidR="00374005" w:rsidRPr="00AF0274">
        <w:rPr>
          <w:i/>
          <w:sz w:val="24"/>
          <w:szCs w:val="24"/>
          <w:lang w:val="en-GB"/>
        </w:rPr>
        <w:t>ay</w:t>
      </w:r>
    </w:p>
    <w:p w14:paraId="12ABE965" w14:textId="5C821567" w:rsidR="00F80551" w:rsidRDefault="00F80551" w:rsidP="00677CDA">
      <w:pPr>
        <w:spacing w:after="220"/>
        <w:ind w:right="20"/>
        <w:jc w:val="both"/>
        <w:rPr>
          <w:sz w:val="24"/>
          <w:szCs w:val="24"/>
          <w:lang w:val="en-GB"/>
        </w:rPr>
      </w:pPr>
      <w:r>
        <w:rPr>
          <w:sz w:val="24"/>
          <w:szCs w:val="24"/>
          <w:lang w:val="en-GB"/>
        </w:rPr>
        <w:t xml:space="preserve">As that historical context shows, the issue of whether the Courts ought to have the power to strike down a </w:t>
      </w:r>
      <w:r w:rsidR="00D526C6">
        <w:rPr>
          <w:sz w:val="24"/>
          <w:szCs w:val="24"/>
          <w:lang w:val="en-GB"/>
        </w:rPr>
        <w:t xml:space="preserve">particular </w:t>
      </w:r>
      <w:r>
        <w:rPr>
          <w:sz w:val="24"/>
          <w:szCs w:val="24"/>
          <w:lang w:val="en-GB"/>
        </w:rPr>
        <w:t xml:space="preserve">contractual provision on the grounds of repugnancy is </w:t>
      </w:r>
      <w:r w:rsidR="00D526C6">
        <w:rPr>
          <w:sz w:val="24"/>
          <w:szCs w:val="24"/>
          <w:lang w:val="en-GB"/>
        </w:rPr>
        <w:t xml:space="preserve">often </w:t>
      </w:r>
      <w:r>
        <w:rPr>
          <w:sz w:val="24"/>
          <w:szCs w:val="24"/>
          <w:lang w:val="en-GB"/>
        </w:rPr>
        <w:t>concerned as much with politics and economics as it is about abstract legal theory.</w:t>
      </w:r>
      <w:r w:rsidR="00263074">
        <w:rPr>
          <w:sz w:val="24"/>
          <w:szCs w:val="24"/>
          <w:lang w:val="en-GB"/>
        </w:rPr>
        <w:t xml:space="preserve"> </w:t>
      </w:r>
      <w:r w:rsidR="00D526C6">
        <w:rPr>
          <w:sz w:val="24"/>
          <w:szCs w:val="24"/>
          <w:lang w:val="en-GB"/>
        </w:rPr>
        <w:t>By reference to that historical context, t</w:t>
      </w:r>
      <w:r w:rsidR="00374005">
        <w:rPr>
          <w:sz w:val="24"/>
          <w:szCs w:val="24"/>
          <w:lang w:val="en-GB"/>
        </w:rPr>
        <w:t xml:space="preserve">his essay argues that the </w:t>
      </w:r>
      <w:r w:rsidR="00D7206F">
        <w:rPr>
          <w:sz w:val="24"/>
          <w:szCs w:val="24"/>
          <w:lang w:val="en-GB"/>
        </w:rPr>
        <w:t>Courts ought to have the power to refuse to give effect to a contractual provision on the grounds of r</w:t>
      </w:r>
      <w:r w:rsidR="00D928DF">
        <w:rPr>
          <w:sz w:val="24"/>
          <w:szCs w:val="24"/>
          <w:lang w:val="en-GB"/>
        </w:rPr>
        <w:t>epugnancy wherever</w:t>
      </w:r>
      <w:r w:rsidR="00BE7714">
        <w:rPr>
          <w:sz w:val="24"/>
          <w:szCs w:val="24"/>
          <w:lang w:val="en-GB"/>
        </w:rPr>
        <w:t xml:space="preserve"> a stronger party uses an</w:t>
      </w:r>
      <w:r w:rsidR="00D928DF">
        <w:rPr>
          <w:sz w:val="24"/>
          <w:szCs w:val="24"/>
          <w:lang w:val="en-GB"/>
        </w:rPr>
        <w:t xml:space="preserve"> </w:t>
      </w:r>
      <w:r w:rsidR="008F2B9D">
        <w:rPr>
          <w:sz w:val="24"/>
          <w:szCs w:val="24"/>
          <w:lang w:val="en-GB"/>
        </w:rPr>
        <w:t xml:space="preserve">inequality of </w:t>
      </w:r>
      <w:r w:rsidR="00BE7714">
        <w:rPr>
          <w:sz w:val="24"/>
          <w:szCs w:val="24"/>
          <w:lang w:val="en-GB"/>
        </w:rPr>
        <w:t>bargaining power to take unfair advantage of a weaker party</w:t>
      </w:r>
      <w:r w:rsidR="00BE7714">
        <w:rPr>
          <w:rStyle w:val="FootnoteReference"/>
          <w:sz w:val="24"/>
          <w:szCs w:val="24"/>
          <w:lang w:val="en-GB"/>
        </w:rPr>
        <w:footnoteReference w:id="18"/>
      </w:r>
      <w:r w:rsidR="00BE7714">
        <w:rPr>
          <w:sz w:val="24"/>
          <w:szCs w:val="24"/>
          <w:lang w:val="en-GB"/>
        </w:rPr>
        <w:t>.</w:t>
      </w:r>
      <w:r w:rsidR="00B27401">
        <w:rPr>
          <w:sz w:val="24"/>
          <w:szCs w:val="24"/>
          <w:lang w:val="en-GB"/>
        </w:rPr>
        <w:t xml:space="preserve"> </w:t>
      </w:r>
    </w:p>
    <w:p w14:paraId="30083AB0" w14:textId="5866E81E" w:rsidR="00F80551" w:rsidRPr="00103E43" w:rsidRDefault="00606579" w:rsidP="00677CDA">
      <w:pPr>
        <w:spacing w:after="220"/>
        <w:ind w:right="20"/>
        <w:jc w:val="both"/>
        <w:rPr>
          <w:sz w:val="24"/>
          <w:szCs w:val="24"/>
          <w:lang w:val="en-GB"/>
        </w:rPr>
      </w:pPr>
      <w:r>
        <w:rPr>
          <w:sz w:val="24"/>
          <w:szCs w:val="24"/>
          <w:lang w:val="en-GB"/>
        </w:rPr>
        <w:t xml:space="preserve">Primarily, that is </w:t>
      </w:r>
      <w:r w:rsidR="00F80551">
        <w:rPr>
          <w:sz w:val="24"/>
          <w:szCs w:val="24"/>
          <w:lang w:val="en-GB"/>
        </w:rPr>
        <w:t xml:space="preserve">because – as a matter of economic theory – it is highly doubtful whether </w:t>
      </w:r>
      <w:r w:rsidR="00955DE3">
        <w:rPr>
          <w:sz w:val="24"/>
          <w:szCs w:val="24"/>
          <w:lang w:val="en-GB"/>
        </w:rPr>
        <w:t xml:space="preserve">pure and unadulterated freedom of contract </w:t>
      </w:r>
      <w:r w:rsidR="00F80551">
        <w:rPr>
          <w:sz w:val="24"/>
          <w:szCs w:val="24"/>
          <w:lang w:val="en-GB"/>
        </w:rPr>
        <w:t xml:space="preserve">serves to benefit the public interest in the manner envisaged by Adam Smith. By contrast – if the early twentieth century experience is anything to go by – it merely serves to accelerate and exacerbate </w:t>
      </w:r>
      <w:r w:rsidR="008E4907">
        <w:rPr>
          <w:sz w:val="24"/>
          <w:szCs w:val="24"/>
          <w:lang w:val="en-GB"/>
        </w:rPr>
        <w:t>the concentration of power a</w:t>
      </w:r>
      <w:r w:rsidR="00CE0520">
        <w:rPr>
          <w:sz w:val="24"/>
          <w:szCs w:val="24"/>
          <w:lang w:val="en-GB"/>
        </w:rPr>
        <w:t>nd wealth in the hands of a few</w:t>
      </w:r>
      <w:r w:rsidR="00955DE3">
        <w:rPr>
          <w:sz w:val="24"/>
          <w:szCs w:val="24"/>
          <w:lang w:val="en-GB"/>
        </w:rPr>
        <w:t>,</w:t>
      </w:r>
      <w:r w:rsidR="00CE0520">
        <w:rPr>
          <w:sz w:val="24"/>
          <w:szCs w:val="24"/>
          <w:lang w:val="en-GB"/>
        </w:rPr>
        <w:t xml:space="preserve"> via monopolies and the restraint of trade. </w:t>
      </w:r>
      <w:r w:rsidR="00AE0807">
        <w:rPr>
          <w:sz w:val="24"/>
          <w:szCs w:val="24"/>
          <w:lang w:val="en-GB"/>
        </w:rPr>
        <w:t>Rather than improving social and economic development,</w:t>
      </w:r>
      <w:r w:rsidR="00955DE3">
        <w:rPr>
          <w:sz w:val="24"/>
          <w:szCs w:val="24"/>
          <w:lang w:val="en-GB"/>
        </w:rPr>
        <w:t xml:space="preserve"> rece</w:t>
      </w:r>
      <w:r w:rsidR="00AE0807">
        <w:rPr>
          <w:sz w:val="24"/>
          <w:szCs w:val="24"/>
          <w:lang w:val="en-GB"/>
        </w:rPr>
        <w:t xml:space="preserve">nt economic data suggests that </w:t>
      </w:r>
      <w:r w:rsidR="00241E4A">
        <w:rPr>
          <w:sz w:val="24"/>
          <w:szCs w:val="24"/>
          <w:lang w:val="en-GB"/>
        </w:rPr>
        <w:t xml:space="preserve">such </w:t>
      </w:r>
      <w:r w:rsidR="00955DE3">
        <w:rPr>
          <w:sz w:val="24"/>
          <w:szCs w:val="24"/>
          <w:lang w:val="en-GB"/>
        </w:rPr>
        <w:t xml:space="preserve">a growth in inequality </w:t>
      </w:r>
      <w:r w:rsidR="00AE0807">
        <w:rPr>
          <w:sz w:val="24"/>
          <w:szCs w:val="24"/>
          <w:lang w:val="en-GB"/>
        </w:rPr>
        <w:t>may in fact be responsible for</w:t>
      </w:r>
      <w:r w:rsidR="00955DE3">
        <w:rPr>
          <w:sz w:val="24"/>
          <w:szCs w:val="24"/>
          <w:lang w:val="en-GB"/>
        </w:rPr>
        <w:t xml:space="preserve"> slower economic growth and a decrease in productivity.</w:t>
      </w:r>
      <w:r w:rsidR="00103E43">
        <w:rPr>
          <w:sz w:val="24"/>
          <w:szCs w:val="24"/>
          <w:lang w:val="en-GB"/>
        </w:rPr>
        <w:t xml:space="preserve"> The British economy has moved on</w:t>
      </w:r>
      <w:r>
        <w:rPr>
          <w:sz w:val="24"/>
          <w:szCs w:val="24"/>
          <w:lang w:val="en-GB"/>
        </w:rPr>
        <w:t xml:space="preserve"> considerably</w:t>
      </w:r>
      <w:r w:rsidR="00103E43">
        <w:rPr>
          <w:sz w:val="24"/>
          <w:szCs w:val="24"/>
          <w:lang w:val="en-GB"/>
        </w:rPr>
        <w:t xml:space="preserve"> since the ‘big bang’ of economic activity occasioned by the industrial revolution, which </w:t>
      </w:r>
      <w:r w:rsidR="00263074">
        <w:rPr>
          <w:sz w:val="24"/>
          <w:szCs w:val="24"/>
          <w:lang w:val="en-GB"/>
        </w:rPr>
        <w:t xml:space="preserve"> (</w:t>
      </w:r>
      <w:r w:rsidR="00103E43">
        <w:rPr>
          <w:sz w:val="24"/>
          <w:szCs w:val="24"/>
          <w:lang w:val="en-GB"/>
        </w:rPr>
        <w:t>for a time at least</w:t>
      </w:r>
      <w:r w:rsidR="00263074">
        <w:rPr>
          <w:sz w:val="24"/>
          <w:szCs w:val="24"/>
          <w:lang w:val="en-GB"/>
        </w:rPr>
        <w:t>)</w:t>
      </w:r>
      <w:r w:rsidR="00103E43">
        <w:rPr>
          <w:sz w:val="24"/>
          <w:szCs w:val="24"/>
          <w:lang w:val="en-GB"/>
        </w:rPr>
        <w:t xml:space="preserve"> may have justified a </w:t>
      </w:r>
      <w:r w:rsidR="00103E43">
        <w:rPr>
          <w:i/>
          <w:sz w:val="24"/>
          <w:szCs w:val="24"/>
          <w:lang w:val="en-GB"/>
        </w:rPr>
        <w:t xml:space="preserve">laissez-faire </w:t>
      </w:r>
      <w:r w:rsidR="00103E43">
        <w:rPr>
          <w:sz w:val="24"/>
          <w:szCs w:val="24"/>
          <w:lang w:val="en-GB"/>
        </w:rPr>
        <w:t>approach to the policing of parties’ contracts.</w:t>
      </w:r>
    </w:p>
    <w:p w14:paraId="405DFFFC" w14:textId="6E5831F5" w:rsidR="00243C32" w:rsidRDefault="00260C46" w:rsidP="00677CDA">
      <w:pPr>
        <w:spacing w:after="220"/>
        <w:ind w:right="20"/>
        <w:jc w:val="both"/>
        <w:rPr>
          <w:sz w:val="24"/>
          <w:szCs w:val="24"/>
          <w:lang w:val="en-GB"/>
        </w:rPr>
      </w:pPr>
      <w:r>
        <w:rPr>
          <w:sz w:val="24"/>
          <w:szCs w:val="24"/>
          <w:lang w:val="en-GB"/>
        </w:rPr>
        <w:t>Leaving aside such economic arguments</w:t>
      </w:r>
      <w:r w:rsidR="00606579">
        <w:rPr>
          <w:sz w:val="24"/>
          <w:szCs w:val="24"/>
          <w:lang w:val="en-GB"/>
        </w:rPr>
        <w:t>, the Courts ought to have such powers because</w:t>
      </w:r>
      <w:r w:rsidR="00955DE3">
        <w:rPr>
          <w:sz w:val="24"/>
          <w:szCs w:val="24"/>
          <w:lang w:val="en-GB"/>
        </w:rPr>
        <w:t xml:space="preserve"> insistence upon anything approximating doctrinal purity in respect of freedom of contract would </w:t>
      </w:r>
      <w:r w:rsidR="00606579">
        <w:rPr>
          <w:sz w:val="24"/>
          <w:szCs w:val="24"/>
          <w:lang w:val="en-GB"/>
        </w:rPr>
        <w:t>inevitably result in the Courts</w:t>
      </w:r>
      <w:r w:rsidR="00955DE3">
        <w:rPr>
          <w:sz w:val="24"/>
          <w:szCs w:val="24"/>
          <w:lang w:val="en-GB"/>
        </w:rPr>
        <w:t xml:space="preserve"> tacit</w:t>
      </w:r>
      <w:r w:rsidR="00606579">
        <w:rPr>
          <w:sz w:val="24"/>
          <w:szCs w:val="24"/>
          <w:lang w:val="en-GB"/>
        </w:rPr>
        <w:t xml:space="preserve">ly approving </w:t>
      </w:r>
      <w:r w:rsidR="00955DE3">
        <w:rPr>
          <w:sz w:val="24"/>
          <w:szCs w:val="24"/>
          <w:lang w:val="en-GB"/>
        </w:rPr>
        <w:t xml:space="preserve">sharp practice by large corporations and others in a particularly strong bargaining position. </w:t>
      </w:r>
      <w:r w:rsidR="00AE0807">
        <w:rPr>
          <w:sz w:val="24"/>
          <w:szCs w:val="24"/>
          <w:lang w:val="en-GB"/>
        </w:rPr>
        <w:t xml:space="preserve">Whilst perhaps not as serious, </w:t>
      </w:r>
      <w:r w:rsidR="00606579">
        <w:rPr>
          <w:sz w:val="24"/>
          <w:szCs w:val="24"/>
          <w:lang w:val="en-GB"/>
        </w:rPr>
        <w:t>such sharp practice sits on the same spectrum of immoral behaviour</w:t>
      </w:r>
      <w:r w:rsidR="00AE0807">
        <w:rPr>
          <w:sz w:val="24"/>
          <w:szCs w:val="24"/>
          <w:lang w:val="en-GB"/>
        </w:rPr>
        <w:t xml:space="preserve"> as illegality</w:t>
      </w:r>
      <w:r w:rsidR="00606579">
        <w:rPr>
          <w:sz w:val="24"/>
          <w:szCs w:val="24"/>
          <w:lang w:val="en-GB"/>
        </w:rPr>
        <w:t>. For the Courts to sit idly by</w:t>
      </w:r>
      <w:r w:rsidR="00F27EC8">
        <w:rPr>
          <w:sz w:val="24"/>
          <w:szCs w:val="24"/>
          <w:lang w:val="en-GB"/>
        </w:rPr>
        <w:t xml:space="preserve"> -</w:t>
      </w:r>
      <w:r w:rsidR="00606579">
        <w:rPr>
          <w:sz w:val="24"/>
          <w:szCs w:val="24"/>
          <w:lang w:val="en-GB"/>
        </w:rPr>
        <w:t xml:space="preserve"> and </w:t>
      </w:r>
      <w:r w:rsidR="00AE0807">
        <w:rPr>
          <w:sz w:val="24"/>
          <w:szCs w:val="24"/>
          <w:lang w:val="en-GB"/>
        </w:rPr>
        <w:t xml:space="preserve">thus implicitly </w:t>
      </w:r>
      <w:r w:rsidR="00606579">
        <w:rPr>
          <w:sz w:val="24"/>
          <w:szCs w:val="24"/>
          <w:lang w:val="en-GB"/>
        </w:rPr>
        <w:t>condone</w:t>
      </w:r>
      <w:r w:rsidR="00AE0807">
        <w:rPr>
          <w:sz w:val="24"/>
          <w:szCs w:val="24"/>
          <w:lang w:val="en-GB"/>
        </w:rPr>
        <w:t xml:space="preserve"> such conduct </w:t>
      </w:r>
      <w:r w:rsidR="00F27EC8">
        <w:rPr>
          <w:sz w:val="24"/>
          <w:szCs w:val="24"/>
          <w:lang w:val="en-GB"/>
        </w:rPr>
        <w:t xml:space="preserve">- </w:t>
      </w:r>
      <w:r w:rsidR="00AE0807">
        <w:rPr>
          <w:sz w:val="24"/>
          <w:szCs w:val="24"/>
          <w:lang w:val="en-GB"/>
        </w:rPr>
        <w:t xml:space="preserve">would thus risk bringing the integrity of the Courts into question. </w:t>
      </w:r>
      <w:r w:rsidR="00F27EC8">
        <w:rPr>
          <w:sz w:val="24"/>
          <w:szCs w:val="24"/>
          <w:lang w:val="en-GB"/>
        </w:rPr>
        <w:t xml:space="preserve">That alone is a </w:t>
      </w:r>
      <w:r w:rsidR="00F27EC8">
        <w:rPr>
          <w:sz w:val="24"/>
          <w:szCs w:val="24"/>
          <w:lang w:val="en-GB"/>
        </w:rPr>
        <w:lastRenderedPageBreak/>
        <w:t xml:space="preserve">powerful argument for allowing the Courts to intervene in contractual bargains </w:t>
      </w:r>
      <w:r w:rsidR="00676119">
        <w:rPr>
          <w:sz w:val="24"/>
          <w:szCs w:val="24"/>
          <w:lang w:val="en-GB"/>
        </w:rPr>
        <w:t xml:space="preserve">whose terms have been influenced by a strong party taking unfair advantage of a weaker party. </w:t>
      </w:r>
      <w:r w:rsidR="00F27EC8">
        <w:rPr>
          <w:sz w:val="24"/>
          <w:szCs w:val="24"/>
          <w:lang w:val="en-GB"/>
        </w:rPr>
        <w:t xml:space="preserve"> </w:t>
      </w:r>
    </w:p>
    <w:p w14:paraId="007D8728" w14:textId="7C2AEDAD" w:rsidR="00F86E20" w:rsidRDefault="00A019BD" w:rsidP="00677CDA">
      <w:pPr>
        <w:spacing w:after="220"/>
        <w:ind w:right="20"/>
        <w:jc w:val="both"/>
        <w:rPr>
          <w:sz w:val="24"/>
          <w:szCs w:val="24"/>
          <w:lang w:val="en-GB"/>
        </w:rPr>
      </w:pPr>
      <w:r>
        <w:rPr>
          <w:sz w:val="24"/>
          <w:szCs w:val="24"/>
          <w:lang w:val="en-GB"/>
        </w:rPr>
        <w:t>Plainly, what constitutes taking</w:t>
      </w:r>
      <w:r w:rsidR="00676119">
        <w:rPr>
          <w:sz w:val="24"/>
          <w:szCs w:val="24"/>
          <w:lang w:val="en-GB"/>
        </w:rPr>
        <w:t xml:space="preserve"> ‘unfair advantage’</w:t>
      </w:r>
      <w:r>
        <w:rPr>
          <w:sz w:val="24"/>
          <w:szCs w:val="24"/>
          <w:lang w:val="en-GB"/>
        </w:rPr>
        <w:t xml:space="preserve"> of a weaker party is not immutable</w:t>
      </w:r>
      <w:r w:rsidR="0017476A">
        <w:rPr>
          <w:sz w:val="24"/>
          <w:szCs w:val="24"/>
          <w:lang w:val="en-GB"/>
        </w:rPr>
        <w:t>,</w:t>
      </w:r>
      <w:r>
        <w:rPr>
          <w:sz w:val="24"/>
          <w:szCs w:val="24"/>
          <w:lang w:val="en-GB"/>
        </w:rPr>
        <w:t xml:space="preserve"> nor capable of precise abstract definition. For that reason alone it is likely that the precise nature of judicial and Parliamentary opinion on whether to intervene when faced with certain repugnant clauses will move slowly back and forth over time, in accordance with societal and political changes. If the Supreme Court’s most recent pronouncements in </w:t>
      </w:r>
      <w:r>
        <w:rPr>
          <w:i/>
          <w:sz w:val="24"/>
          <w:szCs w:val="24"/>
          <w:lang w:val="en-GB"/>
        </w:rPr>
        <w:t>Arnold v Britton</w:t>
      </w:r>
      <w:r w:rsidR="00142458">
        <w:rPr>
          <w:i/>
          <w:sz w:val="24"/>
          <w:szCs w:val="24"/>
          <w:lang w:val="en-GB"/>
        </w:rPr>
        <w:t xml:space="preserve"> </w:t>
      </w:r>
      <w:r w:rsidR="00142458">
        <w:rPr>
          <w:sz w:val="24"/>
          <w:szCs w:val="24"/>
          <w:lang w:val="en-GB"/>
        </w:rPr>
        <w:t>[2015] AC</w:t>
      </w:r>
      <w:r w:rsidR="00142458" w:rsidRPr="00142458">
        <w:rPr>
          <w:sz w:val="24"/>
          <w:szCs w:val="24"/>
          <w:lang w:val="en-GB"/>
        </w:rPr>
        <w:t xml:space="preserve"> 1619</w:t>
      </w:r>
      <w:r>
        <w:rPr>
          <w:i/>
          <w:sz w:val="24"/>
          <w:szCs w:val="24"/>
          <w:lang w:val="en-GB"/>
        </w:rPr>
        <w:t xml:space="preserve"> </w:t>
      </w:r>
      <w:r>
        <w:rPr>
          <w:sz w:val="24"/>
          <w:szCs w:val="24"/>
          <w:lang w:val="en-GB"/>
        </w:rPr>
        <w:t xml:space="preserve">and </w:t>
      </w:r>
      <w:r>
        <w:rPr>
          <w:i/>
          <w:sz w:val="24"/>
          <w:szCs w:val="24"/>
          <w:lang w:val="en-GB"/>
        </w:rPr>
        <w:t>Cavendish v Makdessi</w:t>
      </w:r>
      <w:r>
        <w:rPr>
          <w:sz w:val="24"/>
          <w:szCs w:val="24"/>
          <w:lang w:val="en-GB"/>
        </w:rPr>
        <w:t xml:space="preserve"> </w:t>
      </w:r>
      <w:r w:rsidR="00142458" w:rsidRPr="00142458">
        <w:rPr>
          <w:sz w:val="24"/>
          <w:szCs w:val="24"/>
          <w:lang w:val="en-GB"/>
        </w:rPr>
        <w:t>[2015] 3 W.L.R. 1373</w:t>
      </w:r>
      <w:r w:rsidR="00142458">
        <w:rPr>
          <w:sz w:val="24"/>
          <w:szCs w:val="24"/>
          <w:lang w:val="en-GB"/>
        </w:rPr>
        <w:t xml:space="preserve"> </w:t>
      </w:r>
      <w:r>
        <w:rPr>
          <w:sz w:val="24"/>
          <w:szCs w:val="24"/>
          <w:lang w:val="en-GB"/>
        </w:rPr>
        <w:t xml:space="preserve">are any guide, the law is currently in the process moving steadily away from the </w:t>
      </w:r>
      <w:r w:rsidR="004323C5">
        <w:rPr>
          <w:sz w:val="24"/>
          <w:szCs w:val="24"/>
          <w:lang w:val="en-GB"/>
        </w:rPr>
        <w:t xml:space="preserve">more </w:t>
      </w:r>
      <w:r>
        <w:rPr>
          <w:sz w:val="24"/>
          <w:szCs w:val="24"/>
          <w:lang w:val="en-GB"/>
        </w:rPr>
        <w:t xml:space="preserve">vigorous judicial control of repugnant clauses that typified the key cases in the mid-to-late twentieth century. </w:t>
      </w:r>
    </w:p>
    <w:p w14:paraId="07D51EC9" w14:textId="6AB6A6D3" w:rsidR="00F27EC8" w:rsidRPr="00A019BD" w:rsidRDefault="004323C5" w:rsidP="00677CDA">
      <w:pPr>
        <w:spacing w:after="220"/>
        <w:ind w:right="20"/>
        <w:jc w:val="both"/>
        <w:rPr>
          <w:sz w:val="24"/>
          <w:szCs w:val="24"/>
          <w:lang w:val="en-GB"/>
        </w:rPr>
      </w:pPr>
      <w:r>
        <w:rPr>
          <w:sz w:val="24"/>
          <w:szCs w:val="24"/>
          <w:lang w:val="en-GB"/>
        </w:rPr>
        <w:t>From a legal theory perspective, the</w:t>
      </w:r>
      <w:r w:rsidR="00A019BD">
        <w:rPr>
          <w:sz w:val="24"/>
          <w:szCs w:val="24"/>
          <w:lang w:val="en-GB"/>
        </w:rPr>
        <w:t xml:space="preserve"> precise degree of</w:t>
      </w:r>
      <w:r>
        <w:rPr>
          <w:sz w:val="24"/>
          <w:szCs w:val="24"/>
          <w:lang w:val="en-GB"/>
        </w:rPr>
        <w:t xml:space="preserve"> the Courts’</w:t>
      </w:r>
      <w:r w:rsidR="00A019BD">
        <w:rPr>
          <w:sz w:val="24"/>
          <w:szCs w:val="24"/>
          <w:lang w:val="en-GB"/>
        </w:rPr>
        <w:t xml:space="preserve"> intervention at any particula</w:t>
      </w:r>
      <w:r>
        <w:rPr>
          <w:sz w:val="24"/>
          <w:szCs w:val="24"/>
          <w:lang w:val="en-GB"/>
        </w:rPr>
        <w:t>r moment in time is not of paramount significance. Far more important is the fact that, in broad terms, the law has developed a series of nuanced and principled tests for determining the circumstances in which repugnant clauses ought to be struck down.</w:t>
      </w:r>
    </w:p>
    <w:p w14:paraId="25E1D567" w14:textId="77777777" w:rsidR="00606579" w:rsidRPr="00E8281C" w:rsidRDefault="00606579" w:rsidP="00677CDA">
      <w:pPr>
        <w:spacing w:after="220"/>
        <w:ind w:right="20"/>
        <w:jc w:val="both"/>
        <w:rPr>
          <w:sz w:val="24"/>
          <w:szCs w:val="24"/>
        </w:rPr>
      </w:pPr>
    </w:p>
    <w:p w14:paraId="514C668D" w14:textId="5B7A13E0" w:rsidR="008C765F" w:rsidRPr="00E8281C" w:rsidRDefault="008C765F" w:rsidP="001A1D15">
      <w:pPr>
        <w:spacing w:after="0"/>
        <w:jc w:val="right"/>
        <w:rPr>
          <w:b/>
          <w:sz w:val="24"/>
          <w:szCs w:val="24"/>
        </w:rPr>
      </w:pPr>
      <w:r w:rsidRPr="00E8281C">
        <w:rPr>
          <w:b/>
          <w:sz w:val="24"/>
          <w:szCs w:val="24"/>
        </w:rPr>
        <w:t>Matthew Finn</w:t>
      </w:r>
    </w:p>
    <w:p w14:paraId="065E31E2" w14:textId="4DF5D5E6" w:rsidR="00034153" w:rsidRPr="00E8281C" w:rsidRDefault="00034153" w:rsidP="001A1D15">
      <w:pPr>
        <w:jc w:val="right"/>
        <w:rPr>
          <w:b/>
          <w:sz w:val="24"/>
          <w:szCs w:val="24"/>
        </w:rPr>
      </w:pPr>
      <w:r w:rsidRPr="00E8281C">
        <w:rPr>
          <w:b/>
          <w:sz w:val="24"/>
          <w:szCs w:val="24"/>
        </w:rPr>
        <w:t>Keating Chambers</w:t>
      </w:r>
    </w:p>
    <w:p w14:paraId="7B072096" w14:textId="5284AC78" w:rsidR="008C765F" w:rsidRPr="00E8281C" w:rsidRDefault="00D23877" w:rsidP="00677CDA">
      <w:pPr>
        <w:rPr>
          <w:b/>
          <w:sz w:val="24"/>
          <w:szCs w:val="24"/>
        </w:rPr>
      </w:pPr>
      <w:r>
        <w:rPr>
          <w:b/>
          <w:sz w:val="24"/>
          <w:szCs w:val="24"/>
        </w:rPr>
        <w:t>2</w:t>
      </w:r>
      <w:r w:rsidR="00637797">
        <w:rPr>
          <w:b/>
          <w:sz w:val="24"/>
          <w:szCs w:val="24"/>
        </w:rPr>
        <w:t>7</w:t>
      </w:r>
      <w:r>
        <w:rPr>
          <w:b/>
          <w:sz w:val="24"/>
          <w:szCs w:val="24"/>
        </w:rPr>
        <w:t xml:space="preserve"> October</w:t>
      </w:r>
      <w:r w:rsidR="008C765F" w:rsidRPr="00E8281C">
        <w:rPr>
          <w:b/>
          <w:sz w:val="24"/>
          <w:szCs w:val="24"/>
        </w:rPr>
        <w:t xml:space="preserve"> 2016</w:t>
      </w:r>
    </w:p>
    <w:p w14:paraId="70031D3E" w14:textId="2CB692FC" w:rsidR="0064713F" w:rsidRPr="007051C6" w:rsidRDefault="0064713F" w:rsidP="007051C6">
      <w:pPr>
        <w:spacing w:after="0"/>
        <w:rPr>
          <w:sz w:val="24"/>
          <w:szCs w:val="24"/>
          <w:u w:val="single"/>
        </w:rPr>
      </w:pPr>
      <w:bookmarkStart w:id="0" w:name="_GoBack"/>
      <w:bookmarkEnd w:id="0"/>
    </w:p>
    <w:sectPr w:rsidR="0064713F" w:rsidRPr="007051C6" w:rsidSect="00EC6766">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88A5B" w14:textId="77777777" w:rsidR="00A019BD" w:rsidRDefault="00A019BD" w:rsidP="00E174E2">
      <w:pPr>
        <w:spacing w:after="0" w:line="240" w:lineRule="auto"/>
      </w:pPr>
      <w:r>
        <w:separator/>
      </w:r>
    </w:p>
  </w:endnote>
  <w:endnote w:type="continuationSeparator" w:id="0">
    <w:p w14:paraId="70D28E53" w14:textId="77777777" w:rsidR="00A019BD" w:rsidRDefault="00A019BD" w:rsidP="00E1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74D75" w14:textId="77777777" w:rsidR="00A019BD" w:rsidRDefault="00A019BD" w:rsidP="00E174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37B1C" w14:textId="77777777" w:rsidR="00A019BD" w:rsidRDefault="00A01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9E9B" w14:textId="77777777" w:rsidR="00A019BD" w:rsidRDefault="00A019BD" w:rsidP="00E174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51C6">
      <w:rPr>
        <w:rStyle w:val="PageNumber"/>
        <w:noProof/>
      </w:rPr>
      <w:t>6</w:t>
    </w:r>
    <w:r>
      <w:rPr>
        <w:rStyle w:val="PageNumber"/>
      </w:rPr>
      <w:fldChar w:fldCharType="end"/>
    </w:r>
  </w:p>
  <w:p w14:paraId="66979A5D" w14:textId="77777777" w:rsidR="00A019BD" w:rsidRDefault="00A01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7C67D" w14:textId="77777777" w:rsidR="00A019BD" w:rsidRDefault="00A019BD" w:rsidP="00E174E2">
      <w:pPr>
        <w:spacing w:after="0" w:line="240" w:lineRule="auto"/>
      </w:pPr>
      <w:r>
        <w:separator/>
      </w:r>
    </w:p>
  </w:footnote>
  <w:footnote w:type="continuationSeparator" w:id="0">
    <w:p w14:paraId="75ABEB2C" w14:textId="77777777" w:rsidR="00A019BD" w:rsidRDefault="00A019BD" w:rsidP="00E174E2">
      <w:pPr>
        <w:spacing w:after="0" w:line="240" w:lineRule="auto"/>
      </w:pPr>
      <w:r>
        <w:continuationSeparator/>
      </w:r>
    </w:p>
  </w:footnote>
  <w:footnote w:id="1">
    <w:p w14:paraId="5B55257D" w14:textId="77777777"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r>
      <w:r w:rsidRPr="00BA14D7">
        <w:rPr>
          <w:i/>
          <w:sz w:val="20"/>
          <w:szCs w:val="20"/>
        </w:rPr>
        <w:t>Walker v Giles</w:t>
      </w:r>
      <w:r w:rsidRPr="00BA14D7">
        <w:rPr>
          <w:sz w:val="20"/>
          <w:szCs w:val="20"/>
        </w:rPr>
        <w:t xml:space="preserve"> (1848) 6 C.B. 662, 702.  </w:t>
      </w:r>
    </w:p>
  </w:footnote>
  <w:footnote w:id="2">
    <w:p w14:paraId="6C8C0C8A" w14:textId="77777777"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r>
      <w:r w:rsidRPr="00BA14D7">
        <w:rPr>
          <w:i/>
          <w:sz w:val="20"/>
          <w:szCs w:val="20"/>
        </w:rPr>
        <w:t xml:space="preserve">Pagnan v Tradax </w:t>
      </w:r>
      <w:r w:rsidRPr="00BA14D7">
        <w:rPr>
          <w:sz w:val="20"/>
          <w:szCs w:val="20"/>
        </w:rPr>
        <w:t>[1987] 2 Lloyd's Rep. 342, 350.</w:t>
      </w:r>
    </w:p>
  </w:footnote>
  <w:footnote w:id="3">
    <w:p w14:paraId="53CA0C0F" w14:textId="77777777"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r>
      <w:r w:rsidRPr="00BA14D7">
        <w:rPr>
          <w:i/>
          <w:sz w:val="20"/>
          <w:szCs w:val="20"/>
        </w:rPr>
        <w:t>Barton v Fitzgerald</w:t>
      </w:r>
      <w:r w:rsidRPr="00BA14D7">
        <w:rPr>
          <w:sz w:val="20"/>
          <w:szCs w:val="20"/>
        </w:rPr>
        <w:t xml:space="preserve"> (1812) 15 East 529, 541.</w:t>
      </w:r>
    </w:p>
  </w:footnote>
  <w:footnote w:id="4">
    <w:p w14:paraId="782403F3" w14:textId="07CBDADD"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lang w:val="en-GB"/>
        </w:rPr>
        <w:tab/>
      </w:r>
      <w:r w:rsidRPr="00BA14D7">
        <w:rPr>
          <w:i/>
          <w:sz w:val="20"/>
          <w:szCs w:val="20"/>
        </w:rPr>
        <w:t>Cavendish</w:t>
      </w:r>
      <w:r w:rsidRPr="00BA14D7">
        <w:rPr>
          <w:sz w:val="20"/>
          <w:szCs w:val="20"/>
        </w:rPr>
        <w:t>, [35].</w:t>
      </w:r>
    </w:p>
  </w:footnote>
  <w:footnote w:id="5">
    <w:p w14:paraId="5A4EE928" w14:textId="26E3CFC8" w:rsidR="00A019BD" w:rsidRPr="00BA14D7" w:rsidRDefault="00A019BD" w:rsidP="00BA14D7">
      <w:pPr>
        <w:pStyle w:val="FootnoteText"/>
        <w:spacing w:after="120"/>
        <w:jc w:val="both"/>
        <w:rPr>
          <w:sz w:val="20"/>
          <w:szCs w:val="20"/>
          <w:lang w:val="en-GB"/>
        </w:rPr>
      </w:pPr>
      <w:r w:rsidRPr="00BA14D7">
        <w:rPr>
          <w:rStyle w:val="FootnoteReference"/>
          <w:sz w:val="20"/>
          <w:szCs w:val="20"/>
        </w:rPr>
        <w:footnoteRef/>
      </w:r>
      <w:r w:rsidRPr="00BA14D7">
        <w:rPr>
          <w:sz w:val="20"/>
          <w:szCs w:val="20"/>
        </w:rPr>
        <w:t xml:space="preserve"> </w:t>
      </w:r>
      <w:r w:rsidRPr="00BA14D7">
        <w:rPr>
          <w:sz w:val="20"/>
          <w:szCs w:val="20"/>
          <w:lang w:val="en-GB"/>
        </w:rPr>
        <w:tab/>
        <w:t xml:space="preserve">Section 113 of the Housing Grants, Construction and Regeneration Act 1996. </w:t>
      </w:r>
    </w:p>
  </w:footnote>
  <w:footnote w:id="6">
    <w:p w14:paraId="65C57D2C" w14:textId="5F039D5A" w:rsidR="00A019BD" w:rsidRPr="00BA14D7" w:rsidRDefault="00A019BD" w:rsidP="00BA14D7">
      <w:pPr>
        <w:pStyle w:val="FootnoteText"/>
        <w:spacing w:after="120"/>
        <w:jc w:val="both"/>
        <w:rPr>
          <w:sz w:val="20"/>
          <w:szCs w:val="20"/>
          <w:lang w:val="en-GB"/>
        </w:rPr>
      </w:pPr>
      <w:r w:rsidRPr="00BA14D7">
        <w:rPr>
          <w:rStyle w:val="FootnoteReference"/>
          <w:sz w:val="20"/>
          <w:szCs w:val="20"/>
        </w:rPr>
        <w:footnoteRef/>
      </w:r>
      <w:r w:rsidRPr="00BA14D7">
        <w:rPr>
          <w:sz w:val="20"/>
          <w:szCs w:val="20"/>
        </w:rPr>
        <w:t xml:space="preserve"> </w:t>
      </w:r>
      <w:r w:rsidRPr="00BA14D7">
        <w:rPr>
          <w:sz w:val="20"/>
          <w:szCs w:val="20"/>
        </w:rPr>
        <w:tab/>
        <w:t xml:space="preserve">Glanvill X, 18; </w:t>
      </w:r>
      <w:r w:rsidRPr="00BA14D7">
        <w:rPr>
          <w:i/>
          <w:sz w:val="20"/>
          <w:szCs w:val="20"/>
          <w:lang w:val="en-GB"/>
        </w:rPr>
        <w:t>Cheshire, Fifoot and Furmston’s Law of Contract</w:t>
      </w:r>
      <w:r w:rsidRPr="00BA14D7">
        <w:rPr>
          <w:sz w:val="20"/>
          <w:szCs w:val="20"/>
          <w:lang w:val="en-GB"/>
        </w:rPr>
        <w:t>, 2012 Ed. p. 2.</w:t>
      </w:r>
    </w:p>
  </w:footnote>
  <w:footnote w:id="7">
    <w:p w14:paraId="163D2565" w14:textId="15FEF332" w:rsidR="00A019BD" w:rsidRPr="00BA14D7" w:rsidRDefault="00A019BD" w:rsidP="00BA14D7">
      <w:pPr>
        <w:pStyle w:val="FootnoteText"/>
        <w:spacing w:after="120"/>
        <w:jc w:val="both"/>
        <w:rPr>
          <w:sz w:val="20"/>
          <w:szCs w:val="20"/>
          <w:lang w:val="en-GB"/>
        </w:rPr>
      </w:pPr>
      <w:r w:rsidRPr="00BA14D7">
        <w:rPr>
          <w:rStyle w:val="FootnoteReference"/>
          <w:sz w:val="20"/>
          <w:szCs w:val="20"/>
        </w:rPr>
        <w:footnoteRef/>
      </w:r>
      <w:r w:rsidRPr="00BA14D7">
        <w:rPr>
          <w:sz w:val="20"/>
          <w:szCs w:val="20"/>
          <w:lang w:val="en-GB"/>
        </w:rPr>
        <w:tab/>
      </w:r>
      <w:r w:rsidRPr="00BA14D7">
        <w:rPr>
          <w:i/>
          <w:sz w:val="20"/>
          <w:szCs w:val="20"/>
          <w:lang w:val="en-GB"/>
        </w:rPr>
        <w:t>Cheshire</w:t>
      </w:r>
      <w:r w:rsidRPr="00BA14D7">
        <w:rPr>
          <w:sz w:val="20"/>
          <w:szCs w:val="20"/>
          <w:lang w:val="en-GB"/>
        </w:rPr>
        <w:t>, p. 5.</w:t>
      </w:r>
    </w:p>
  </w:footnote>
  <w:footnote w:id="8">
    <w:p w14:paraId="55535AB6" w14:textId="42D7EFBF"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 xml:space="preserve">P. S. Atiyah, </w:t>
      </w:r>
      <w:r w:rsidRPr="00BA14D7">
        <w:rPr>
          <w:i/>
          <w:sz w:val="20"/>
          <w:szCs w:val="20"/>
        </w:rPr>
        <w:t>The Rise and Fall of Freedom of Contract</w:t>
      </w:r>
      <w:r w:rsidRPr="00BA14D7">
        <w:rPr>
          <w:sz w:val="20"/>
          <w:szCs w:val="20"/>
        </w:rPr>
        <w:t>, 1979, Clarendon Press Oxord, p. 113.</w:t>
      </w:r>
    </w:p>
  </w:footnote>
  <w:footnote w:id="9">
    <w:p w14:paraId="5115C97C" w14:textId="5A5370A5"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Ibid.</w:t>
      </w:r>
    </w:p>
  </w:footnote>
  <w:footnote w:id="10">
    <w:p w14:paraId="1250EBB5" w14:textId="1C870290"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Atiyah, pp. 226 – 227.</w:t>
      </w:r>
    </w:p>
  </w:footnote>
  <w:footnote w:id="11">
    <w:p w14:paraId="26759A2C" w14:textId="1FBE1667" w:rsidR="00BA14D7" w:rsidRPr="00BA14D7" w:rsidRDefault="00BA14D7"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Atiyah, p. 417.</w:t>
      </w:r>
    </w:p>
  </w:footnote>
  <w:footnote w:id="12">
    <w:p w14:paraId="72E63312" w14:textId="6941D2B6"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Atiyah, p. 234.</w:t>
      </w:r>
    </w:p>
  </w:footnote>
  <w:footnote w:id="13">
    <w:p w14:paraId="07BB7744" w14:textId="51CDA454"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Atiyah p. 410.</w:t>
      </w:r>
    </w:p>
  </w:footnote>
  <w:footnote w:id="14">
    <w:p w14:paraId="33FB0AF2" w14:textId="57BA2B01" w:rsidR="00A019BD" w:rsidRPr="00BA14D7" w:rsidRDefault="00A019BD"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Atiyah, p. 410.</w:t>
      </w:r>
    </w:p>
  </w:footnote>
  <w:footnote w:id="15">
    <w:p w14:paraId="072275C9" w14:textId="267F78C3" w:rsidR="00BA14D7" w:rsidRPr="00BA14D7" w:rsidRDefault="00BA14D7"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Atiyah, p. 618.</w:t>
      </w:r>
    </w:p>
  </w:footnote>
  <w:footnote w:id="16">
    <w:p w14:paraId="1AD31B23" w14:textId="73AE08B9" w:rsidR="00BA14D7" w:rsidRPr="00BA14D7" w:rsidRDefault="00BA14D7"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Atiyah, pp. 623 – 625.</w:t>
      </w:r>
    </w:p>
  </w:footnote>
  <w:footnote w:id="17">
    <w:p w14:paraId="6CC1DE83" w14:textId="7D0704F6" w:rsidR="00BA14D7" w:rsidRPr="00BA14D7" w:rsidRDefault="00BA14D7" w:rsidP="00BA14D7">
      <w:pPr>
        <w:pStyle w:val="FootnoteText"/>
        <w:spacing w:after="120"/>
        <w:jc w:val="both"/>
        <w:rPr>
          <w:sz w:val="20"/>
          <w:szCs w:val="20"/>
        </w:rPr>
      </w:pPr>
      <w:r w:rsidRPr="00BA14D7">
        <w:rPr>
          <w:rStyle w:val="FootnoteReference"/>
          <w:sz w:val="20"/>
          <w:szCs w:val="20"/>
        </w:rPr>
        <w:footnoteRef/>
      </w:r>
      <w:r w:rsidRPr="00BA14D7">
        <w:rPr>
          <w:sz w:val="20"/>
          <w:szCs w:val="20"/>
        </w:rPr>
        <w:t xml:space="preserve"> </w:t>
      </w:r>
      <w:r w:rsidRPr="00BA14D7">
        <w:rPr>
          <w:sz w:val="20"/>
          <w:szCs w:val="20"/>
        </w:rPr>
        <w:tab/>
        <w:t>Atiyah, p. 626.</w:t>
      </w:r>
    </w:p>
  </w:footnote>
  <w:footnote w:id="18">
    <w:p w14:paraId="6C69318F" w14:textId="3D3DD2C6" w:rsidR="00A019BD" w:rsidRPr="00BA14D7" w:rsidRDefault="00A019BD" w:rsidP="00BA14D7">
      <w:pPr>
        <w:pStyle w:val="FootnoteText"/>
        <w:spacing w:after="120"/>
        <w:jc w:val="both"/>
        <w:rPr>
          <w:sz w:val="20"/>
          <w:szCs w:val="20"/>
          <w:lang w:val="en-GB"/>
        </w:rPr>
      </w:pPr>
      <w:r w:rsidRPr="00BA14D7">
        <w:rPr>
          <w:rStyle w:val="FootnoteReference"/>
          <w:sz w:val="20"/>
          <w:szCs w:val="20"/>
        </w:rPr>
        <w:footnoteRef/>
      </w:r>
      <w:r w:rsidRPr="00BA14D7">
        <w:rPr>
          <w:sz w:val="20"/>
          <w:szCs w:val="20"/>
          <w:lang w:val="en-GB"/>
        </w:rPr>
        <w:tab/>
      </w:r>
      <w:r w:rsidRPr="00BA14D7">
        <w:rPr>
          <w:i/>
          <w:sz w:val="20"/>
          <w:szCs w:val="20"/>
          <w:lang w:val="en-GB"/>
        </w:rPr>
        <w:t>Cheshire</w:t>
      </w:r>
      <w:r w:rsidRPr="00BA14D7">
        <w:rPr>
          <w:sz w:val="20"/>
          <w:szCs w:val="20"/>
          <w:lang w:val="en-GB"/>
        </w:rPr>
        <w:t>, p.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112A100"/>
    <w:lvl w:ilvl="0">
      <w:start w:val="1"/>
      <w:numFmt w:val="lowerLetter"/>
      <w:pStyle w:val="ListNumber2"/>
      <w:lvlText w:val="%1)"/>
      <w:lvlJc w:val="left"/>
      <w:pPr>
        <w:ind w:left="927" w:hanging="360"/>
      </w:pPr>
    </w:lvl>
  </w:abstractNum>
  <w:abstractNum w:abstractNumId="1" w15:restartNumberingAfterBreak="0">
    <w:nsid w:val="1FC031CA"/>
    <w:multiLevelType w:val="hybridMultilevel"/>
    <w:tmpl w:val="A894BE5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2B62160D"/>
    <w:multiLevelType w:val="hybridMultilevel"/>
    <w:tmpl w:val="6372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36D3E"/>
    <w:multiLevelType w:val="hybridMultilevel"/>
    <w:tmpl w:val="B336C650"/>
    <w:lvl w:ilvl="0" w:tplc="2C0AEF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8548A"/>
    <w:multiLevelType w:val="hybridMultilevel"/>
    <w:tmpl w:val="1CB82176"/>
    <w:lvl w:ilvl="0" w:tplc="157A57A4">
      <w:start w:val="1"/>
      <w:numFmt w:val="decimal"/>
      <w:lvlText w:val="%1."/>
      <w:lvlJc w:val="left"/>
      <w:pPr>
        <w:ind w:left="720" w:hanging="360"/>
      </w:pPr>
    </w:lvl>
    <w:lvl w:ilvl="1" w:tplc="04090017">
      <w:start w:val="1"/>
      <w:numFmt w:val="lowerLetter"/>
      <w:lvlText w:val="%2)"/>
      <w:lvlJc w:val="left"/>
      <w:pPr>
        <w:ind w:left="1440" w:hanging="360"/>
      </w:pPr>
    </w:lvl>
    <w:lvl w:ilvl="2" w:tplc="BBBA5712">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3765E"/>
    <w:multiLevelType w:val="hybridMultilevel"/>
    <w:tmpl w:val="8B3293BA"/>
    <w:lvl w:ilvl="0" w:tplc="F3B042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42D30"/>
    <w:multiLevelType w:val="hybridMultilevel"/>
    <w:tmpl w:val="555AB0FA"/>
    <w:lvl w:ilvl="0" w:tplc="E6107CEE">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B3460"/>
    <w:multiLevelType w:val="hybridMultilevel"/>
    <w:tmpl w:val="0220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221557"/>
    <w:multiLevelType w:val="hybridMultilevel"/>
    <w:tmpl w:val="B254F8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0EF0298"/>
    <w:multiLevelType w:val="hybridMultilevel"/>
    <w:tmpl w:val="3A66BD8A"/>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0" w15:restartNumberingAfterBreak="0">
    <w:nsid w:val="6A907371"/>
    <w:multiLevelType w:val="hybridMultilevel"/>
    <w:tmpl w:val="F24C119E"/>
    <w:lvl w:ilvl="0" w:tplc="E6107CEE">
      <w:start w:val="1"/>
      <w:numFmt w:val="decimal"/>
      <w:lvlText w:val="%1."/>
      <w:lvlJc w:val="left"/>
      <w:pPr>
        <w:ind w:left="720" w:hanging="360"/>
      </w:pPr>
    </w:lvl>
    <w:lvl w:ilvl="1" w:tplc="430482DA">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83481"/>
    <w:multiLevelType w:val="hybridMultilevel"/>
    <w:tmpl w:val="8F542830"/>
    <w:lvl w:ilvl="0" w:tplc="3B209E0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66551"/>
    <w:multiLevelType w:val="hybridMultilevel"/>
    <w:tmpl w:val="617AFC0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5"/>
  </w:num>
  <w:num w:numId="6">
    <w:abstractNumId w:val="10"/>
  </w:num>
  <w:num w:numId="7">
    <w:abstractNumId w:val="6"/>
  </w:num>
  <w:num w:numId="8">
    <w:abstractNumId w:val="11"/>
  </w:num>
  <w:num w:numId="9">
    <w:abstractNumId w:val="1"/>
  </w:num>
  <w:num w:numId="10">
    <w:abstractNumId w:val="7"/>
  </w:num>
  <w:num w:numId="11">
    <w:abstractNumId w:val="2"/>
  </w:num>
  <w:num w:numId="12">
    <w:abstractNumId w:val="9"/>
  </w:num>
  <w:num w:numId="13">
    <w:abstractNumId w:val="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3F"/>
    <w:rsid w:val="00001DF5"/>
    <w:rsid w:val="00001EA7"/>
    <w:rsid w:val="00002288"/>
    <w:rsid w:val="0000288D"/>
    <w:rsid w:val="0000297D"/>
    <w:rsid w:val="000106B0"/>
    <w:rsid w:val="00017D2C"/>
    <w:rsid w:val="00030A6E"/>
    <w:rsid w:val="00034153"/>
    <w:rsid w:val="00037831"/>
    <w:rsid w:val="0004046C"/>
    <w:rsid w:val="000421D1"/>
    <w:rsid w:val="00043C5F"/>
    <w:rsid w:val="000524BC"/>
    <w:rsid w:val="00061534"/>
    <w:rsid w:val="00064B10"/>
    <w:rsid w:val="000655CA"/>
    <w:rsid w:val="00085382"/>
    <w:rsid w:val="0009102F"/>
    <w:rsid w:val="00092FBA"/>
    <w:rsid w:val="000937D7"/>
    <w:rsid w:val="0009636C"/>
    <w:rsid w:val="000A3F96"/>
    <w:rsid w:val="000B56E9"/>
    <w:rsid w:val="000C45B3"/>
    <w:rsid w:val="000C4A5B"/>
    <w:rsid w:val="000C69AD"/>
    <w:rsid w:val="000C79AF"/>
    <w:rsid w:val="000D6BA7"/>
    <w:rsid w:val="000E50F3"/>
    <w:rsid w:val="0010042E"/>
    <w:rsid w:val="001009D5"/>
    <w:rsid w:val="00103E43"/>
    <w:rsid w:val="001072D1"/>
    <w:rsid w:val="00114412"/>
    <w:rsid w:val="0012046A"/>
    <w:rsid w:val="001321A5"/>
    <w:rsid w:val="00132798"/>
    <w:rsid w:val="00132FBB"/>
    <w:rsid w:val="00140759"/>
    <w:rsid w:val="00140FD2"/>
    <w:rsid w:val="00141ED4"/>
    <w:rsid w:val="00142458"/>
    <w:rsid w:val="0014269E"/>
    <w:rsid w:val="001563A5"/>
    <w:rsid w:val="001610A9"/>
    <w:rsid w:val="00165DE6"/>
    <w:rsid w:val="001713DB"/>
    <w:rsid w:val="00172E08"/>
    <w:rsid w:val="0017476A"/>
    <w:rsid w:val="00181F68"/>
    <w:rsid w:val="00190C1A"/>
    <w:rsid w:val="001918C5"/>
    <w:rsid w:val="00191DF1"/>
    <w:rsid w:val="001A1D15"/>
    <w:rsid w:val="001A7516"/>
    <w:rsid w:val="001B692A"/>
    <w:rsid w:val="001D1610"/>
    <w:rsid w:val="001D2E0D"/>
    <w:rsid w:val="001D40BD"/>
    <w:rsid w:val="001D764B"/>
    <w:rsid w:val="001F3264"/>
    <w:rsid w:val="00214B3B"/>
    <w:rsid w:val="00220A1C"/>
    <w:rsid w:val="002316D8"/>
    <w:rsid w:val="00241078"/>
    <w:rsid w:val="00241E4A"/>
    <w:rsid w:val="00242D28"/>
    <w:rsid w:val="00243C32"/>
    <w:rsid w:val="0025576D"/>
    <w:rsid w:val="00256DED"/>
    <w:rsid w:val="00260C46"/>
    <w:rsid w:val="00262E08"/>
    <w:rsid w:val="00263074"/>
    <w:rsid w:val="0026479F"/>
    <w:rsid w:val="0027283D"/>
    <w:rsid w:val="0027575A"/>
    <w:rsid w:val="0028075F"/>
    <w:rsid w:val="00294A57"/>
    <w:rsid w:val="002A7606"/>
    <w:rsid w:val="002C6699"/>
    <w:rsid w:val="002D0327"/>
    <w:rsid w:val="002D2B4D"/>
    <w:rsid w:val="002D3F55"/>
    <w:rsid w:val="002D548F"/>
    <w:rsid w:val="002D6BF9"/>
    <w:rsid w:val="002E1D4C"/>
    <w:rsid w:val="002F19D6"/>
    <w:rsid w:val="002F5069"/>
    <w:rsid w:val="002F6724"/>
    <w:rsid w:val="002F6B16"/>
    <w:rsid w:val="0030384A"/>
    <w:rsid w:val="003064C6"/>
    <w:rsid w:val="00306D51"/>
    <w:rsid w:val="00310FA2"/>
    <w:rsid w:val="00311733"/>
    <w:rsid w:val="00312B96"/>
    <w:rsid w:val="003138FA"/>
    <w:rsid w:val="00321EB0"/>
    <w:rsid w:val="00330EDF"/>
    <w:rsid w:val="00330FD2"/>
    <w:rsid w:val="00331D4B"/>
    <w:rsid w:val="00333F2E"/>
    <w:rsid w:val="003365F6"/>
    <w:rsid w:val="00351DA1"/>
    <w:rsid w:val="00352FF7"/>
    <w:rsid w:val="00354C9B"/>
    <w:rsid w:val="0036055F"/>
    <w:rsid w:val="00361075"/>
    <w:rsid w:val="00362B25"/>
    <w:rsid w:val="00374005"/>
    <w:rsid w:val="00381530"/>
    <w:rsid w:val="00382CA7"/>
    <w:rsid w:val="00393258"/>
    <w:rsid w:val="0039465F"/>
    <w:rsid w:val="003A088D"/>
    <w:rsid w:val="003A4733"/>
    <w:rsid w:val="003A539B"/>
    <w:rsid w:val="003A669F"/>
    <w:rsid w:val="003A7BA1"/>
    <w:rsid w:val="003B1D3A"/>
    <w:rsid w:val="003B21D8"/>
    <w:rsid w:val="003B3CDA"/>
    <w:rsid w:val="003B65B4"/>
    <w:rsid w:val="003B7352"/>
    <w:rsid w:val="003C38DF"/>
    <w:rsid w:val="003D4BE0"/>
    <w:rsid w:val="003E2F68"/>
    <w:rsid w:val="003F4D6A"/>
    <w:rsid w:val="003F70BF"/>
    <w:rsid w:val="00403944"/>
    <w:rsid w:val="004042E8"/>
    <w:rsid w:val="00407718"/>
    <w:rsid w:val="00412A18"/>
    <w:rsid w:val="00414BF1"/>
    <w:rsid w:val="00415765"/>
    <w:rsid w:val="00421424"/>
    <w:rsid w:val="004276D2"/>
    <w:rsid w:val="004323C5"/>
    <w:rsid w:val="004347BF"/>
    <w:rsid w:val="004447B7"/>
    <w:rsid w:val="00445F99"/>
    <w:rsid w:val="004617B9"/>
    <w:rsid w:val="004629F6"/>
    <w:rsid w:val="00462FFD"/>
    <w:rsid w:val="0046450F"/>
    <w:rsid w:val="00474FAE"/>
    <w:rsid w:val="00476DF2"/>
    <w:rsid w:val="004919F6"/>
    <w:rsid w:val="00493A95"/>
    <w:rsid w:val="004977B1"/>
    <w:rsid w:val="004A3ABA"/>
    <w:rsid w:val="004B116D"/>
    <w:rsid w:val="004C4DBF"/>
    <w:rsid w:val="004C5F92"/>
    <w:rsid w:val="004C6635"/>
    <w:rsid w:val="004C73A7"/>
    <w:rsid w:val="004D0A62"/>
    <w:rsid w:val="004D291D"/>
    <w:rsid w:val="004E1A1E"/>
    <w:rsid w:val="004E2DE0"/>
    <w:rsid w:val="004E3D88"/>
    <w:rsid w:val="004E5C93"/>
    <w:rsid w:val="005002ED"/>
    <w:rsid w:val="005017A3"/>
    <w:rsid w:val="00504134"/>
    <w:rsid w:val="00521AA0"/>
    <w:rsid w:val="00523402"/>
    <w:rsid w:val="005255EC"/>
    <w:rsid w:val="0052734F"/>
    <w:rsid w:val="005358BB"/>
    <w:rsid w:val="0055051D"/>
    <w:rsid w:val="0055087C"/>
    <w:rsid w:val="00550B94"/>
    <w:rsid w:val="00553C9A"/>
    <w:rsid w:val="005541BB"/>
    <w:rsid w:val="005544B5"/>
    <w:rsid w:val="00563292"/>
    <w:rsid w:val="005643E0"/>
    <w:rsid w:val="00564CC6"/>
    <w:rsid w:val="00565188"/>
    <w:rsid w:val="00567028"/>
    <w:rsid w:val="00567AC2"/>
    <w:rsid w:val="00567EE6"/>
    <w:rsid w:val="005725DF"/>
    <w:rsid w:val="00580C0C"/>
    <w:rsid w:val="00581869"/>
    <w:rsid w:val="005919CC"/>
    <w:rsid w:val="005923E5"/>
    <w:rsid w:val="00593FC0"/>
    <w:rsid w:val="005A65EE"/>
    <w:rsid w:val="005D45D7"/>
    <w:rsid w:val="005D4FA4"/>
    <w:rsid w:val="005E1580"/>
    <w:rsid w:val="005E30E7"/>
    <w:rsid w:val="005E4619"/>
    <w:rsid w:val="005E4ED5"/>
    <w:rsid w:val="005E7E28"/>
    <w:rsid w:val="005F00B2"/>
    <w:rsid w:val="005F279F"/>
    <w:rsid w:val="005F4165"/>
    <w:rsid w:val="005F704E"/>
    <w:rsid w:val="0060085D"/>
    <w:rsid w:val="00603055"/>
    <w:rsid w:val="00606579"/>
    <w:rsid w:val="006127C9"/>
    <w:rsid w:val="00613625"/>
    <w:rsid w:val="00616DE5"/>
    <w:rsid w:val="00624157"/>
    <w:rsid w:val="00634717"/>
    <w:rsid w:val="0063665A"/>
    <w:rsid w:val="006369F2"/>
    <w:rsid w:val="00637797"/>
    <w:rsid w:val="00644FB5"/>
    <w:rsid w:val="0064713F"/>
    <w:rsid w:val="006528C9"/>
    <w:rsid w:val="006556DA"/>
    <w:rsid w:val="00657379"/>
    <w:rsid w:val="006574EB"/>
    <w:rsid w:val="006626DF"/>
    <w:rsid w:val="00665BDF"/>
    <w:rsid w:val="00666428"/>
    <w:rsid w:val="00667B99"/>
    <w:rsid w:val="00673EE3"/>
    <w:rsid w:val="00676119"/>
    <w:rsid w:val="00677CDA"/>
    <w:rsid w:val="00687D2B"/>
    <w:rsid w:val="0069151B"/>
    <w:rsid w:val="00696C08"/>
    <w:rsid w:val="006A3BA4"/>
    <w:rsid w:val="006A56CB"/>
    <w:rsid w:val="006A5F61"/>
    <w:rsid w:val="006A77C5"/>
    <w:rsid w:val="006B76A6"/>
    <w:rsid w:val="006C1B32"/>
    <w:rsid w:val="006C1D87"/>
    <w:rsid w:val="006C36AC"/>
    <w:rsid w:val="006C4764"/>
    <w:rsid w:val="006D08B9"/>
    <w:rsid w:val="006D4DB1"/>
    <w:rsid w:val="006E1748"/>
    <w:rsid w:val="006E2DD9"/>
    <w:rsid w:val="006E6190"/>
    <w:rsid w:val="006E67F6"/>
    <w:rsid w:val="006F1F19"/>
    <w:rsid w:val="00702872"/>
    <w:rsid w:val="00702AC7"/>
    <w:rsid w:val="0070438D"/>
    <w:rsid w:val="007051C6"/>
    <w:rsid w:val="00710C3D"/>
    <w:rsid w:val="00712410"/>
    <w:rsid w:val="007142AD"/>
    <w:rsid w:val="007150EE"/>
    <w:rsid w:val="00723027"/>
    <w:rsid w:val="0072486C"/>
    <w:rsid w:val="007303B1"/>
    <w:rsid w:val="007326A9"/>
    <w:rsid w:val="00736178"/>
    <w:rsid w:val="0074290E"/>
    <w:rsid w:val="00742EB4"/>
    <w:rsid w:val="00745602"/>
    <w:rsid w:val="00750666"/>
    <w:rsid w:val="0075221E"/>
    <w:rsid w:val="00753493"/>
    <w:rsid w:val="007604B9"/>
    <w:rsid w:val="0076549C"/>
    <w:rsid w:val="00770AAE"/>
    <w:rsid w:val="00770F31"/>
    <w:rsid w:val="00770F97"/>
    <w:rsid w:val="00785383"/>
    <w:rsid w:val="00785CEB"/>
    <w:rsid w:val="00787B89"/>
    <w:rsid w:val="007939C3"/>
    <w:rsid w:val="00794740"/>
    <w:rsid w:val="007A2769"/>
    <w:rsid w:val="007B14F2"/>
    <w:rsid w:val="007B504C"/>
    <w:rsid w:val="007B6E13"/>
    <w:rsid w:val="007C1696"/>
    <w:rsid w:val="007C3EC4"/>
    <w:rsid w:val="007C5151"/>
    <w:rsid w:val="007D01FA"/>
    <w:rsid w:val="007D3290"/>
    <w:rsid w:val="007D5AE9"/>
    <w:rsid w:val="007D60A3"/>
    <w:rsid w:val="007E3FFE"/>
    <w:rsid w:val="007E5EB6"/>
    <w:rsid w:val="007E6C18"/>
    <w:rsid w:val="007F197D"/>
    <w:rsid w:val="007F21C8"/>
    <w:rsid w:val="00811F0B"/>
    <w:rsid w:val="008227B2"/>
    <w:rsid w:val="00826963"/>
    <w:rsid w:val="00826B13"/>
    <w:rsid w:val="008331C5"/>
    <w:rsid w:val="00836DCD"/>
    <w:rsid w:val="00840AB4"/>
    <w:rsid w:val="008469C5"/>
    <w:rsid w:val="00846FEE"/>
    <w:rsid w:val="00851D93"/>
    <w:rsid w:val="008619C9"/>
    <w:rsid w:val="00861C20"/>
    <w:rsid w:val="008620D3"/>
    <w:rsid w:val="00870EAB"/>
    <w:rsid w:val="00873DFC"/>
    <w:rsid w:val="00880045"/>
    <w:rsid w:val="00884380"/>
    <w:rsid w:val="00894110"/>
    <w:rsid w:val="008953A3"/>
    <w:rsid w:val="008A191D"/>
    <w:rsid w:val="008A282E"/>
    <w:rsid w:val="008B3562"/>
    <w:rsid w:val="008B761D"/>
    <w:rsid w:val="008C42BB"/>
    <w:rsid w:val="008C765F"/>
    <w:rsid w:val="008D1B4D"/>
    <w:rsid w:val="008D4757"/>
    <w:rsid w:val="008D4773"/>
    <w:rsid w:val="008D4F26"/>
    <w:rsid w:val="008E1340"/>
    <w:rsid w:val="008E4907"/>
    <w:rsid w:val="008E55E4"/>
    <w:rsid w:val="008E5A40"/>
    <w:rsid w:val="008E612B"/>
    <w:rsid w:val="008E6EF8"/>
    <w:rsid w:val="008F1D5D"/>
    <w:rsid w:val="008F2B9D"/>
    <w:rsid w:val="008F4E21"/>
    <w:rsid w:val="008F5C79"/>
    <w:rsid w:val="00903742"/>
    <w:rsid w:val="009066DF"/>
    <w:rsid w:val="00911ACF"/>
    <w:rsid w:val="00912C48"/>
    <w:rsid w:val="00917F62"/>
    <w:rsid w:val="00922FDC"/>
    <w:rsid w:val="00926E0C"/>
    <w:rsid w:val="0093289E"/>
    <w:rsid w:val="00955DE3"/>
    <w:rsid w:val="009578EF"/>
    <w:rsid w:val="0096063E"/>
    <w:rsid w:val="00960F73"/>
    <w:rsid w:val="009673BB"/>
    <w:rsid w:val="00973A1E"/>
    <w:rsid w:val="00976514"/>
    <w:rsid w:val="00977F2B"/>
    <w:rsid w:val="009850D3"/>
    <w:rsid w:val="00986DE0"/>
    <w:rsid w:val="00995706"/>
    <w:rsid w:val="009C3BA4"/>
    <w:rsid w:val="009C3E21"/>
    <w:rsid w:val="009D2F3B"/>
    <w:rsid w:val="009D39E3"/>
    <w:rsid w:val="009E1070"/>
    <w:rsid w:val="009E5AF5"/>
    <w:rsid w:val="009F0D1D"/>
    <w:rsid w:val="00A019BD"/>
    <w:rsid w:val="00A0253A"/>
    <w:rsid w:val="00A03378"/>
    <w:rsid w:val="00A251A7"/>
    <w:rsid w:val="00A36C93"/>
    <w:rsid w:val="00A55B2A"/>
    <w:rsid w:val="00A574A6"/>
    <w:rsid w:val="00A6453D"/>
    <w:rsid w:val="00A70615"/>
    <w:rsid w:val="00A7114C"/>
    <w:rsid w:val="00A73E4C"/>
    <w:rsid w:val="00A769A2"/>
    <w:rsid w:val="00A84CA6"/>
    <w:rsid w:val="00A857EA"/>
    <w:rsid w:val="00A86BB6"/>
    <w:rsid w:val="00A86FFC"/>
    <w:rsid w:val="00A8766B"/>
    <w:rsid w:val="00A87C32"/>
    <w:rsid w:val="00A9342F"/>
    <w:rsid w:val="00A95E0D"/>
    <w:rsid w:val="00AA1C0F"/>
    <w:rsid w:val="00AA401A"/>
    <w:rsid w:val="00AB0665"/>
    <w:rsid w:val="00AB370F"/>
    <w:rsid w:val="00AC15DD"/>
    <w:rsid w:val="00AC451A"/>
    <w:rsid w:val="00AE0807"/>
    <w:rsid w:val="00AE487C"/>
    <w:rsid w:val="00AE6862"/>
    <w:rsid w:val="00AF0274"/>
    <w:rsid w:val="00B002D1"/>
    <w:rsid w:val="00B00B9B"/>
    <w:rsid w:val="00B031D6"/>
    <w:rsid w:val="00B038FD"/>
    <w:rsid w:val="00B0634A"/>
    <w:rsid w:val="00B065D8"/>
    <w:rsid w:val="00B20119"/>
    <w:rsid w:val="00B23651"/>
    <w:rsid w:val="00B25A80"/>
    <w:rsid w:val="00B27401"/>
    <w:rsid w:val="00B32003"/>
    <w:rsid w:val="00B36B1B"/>
    <w:rsid w:val="00B51337"/>
    <w:rsid w:val="00B57957"/>
    <w:rsid w:val="00B704A5"/>
    <w:rsid w:val="00B71CB8"/>
    <w:rsid w:val="00B8665C"/>
    <w:rsid w:val="00B866C1"/>
    <w:rsid w:val="00B90534"/>
    <w:rsid w:val="00B93CDF"/>
    <w:rsid w:val="00B9465E"/>
    <w:rsid w:val="00BA14D7"/>
    <w:rsid w:val="00BA1BD6"/>
    <w:rsid w:val="00BA4A35"/>
    <w:rsid w:val="00BA7B98"/>
    <w:rsid w:val="00BB0C01"/>
    <w:rsid w:val="00BB72B3"/>
    <w:rsid w:val="00BB76B1"/>
    <w:rsid w:val="00BC0272"/>
    <w:rsid w:val="00BC4283"/>
    <w:rsid w:val="00BC4BD2"/>
    <w:rsid w:val="00BC7612"/>
    <w:rsid w:val="00BD319A"/>
    <w:rsid w:val="00BD39AC"/>
    <w:rsid w:val="00BD457D"/>
    <w:rsid w:val="00BD7BBB"/>
    <w:rsid w:val="00BE707A"/>
    <w:rsid w:val="00BE7714"/>
    <w:rsid w:val="00BF4CE2"/>
    <w:rsid w:val="00C04B23"/>
    <w:rsid w:val="00C07A76"/>
    <w:rsid w:val="00C11614"/>
    <w:rsid w:val="00C1212F"/>
    <w:rsid w:val="00C13E86"/>
    <w:rsid w:val="00C1755D"/>
    <w:rsid w:val="00C2168B"/>
    <w:rsid w:val="00C40B7B"/>
    <w:rsid w:val="00C41936"/>
    <w:rsid w:val="00C42A06"/>
    <w:rsid w:val="00C445F1"/>
    <w:rsid w:val="00C46106"/>
    <w:rsid w:val="00C62B80"/>
    <w:rsid w:val="00C62BAD"/>
    <w:rsid w:val="00C758E9"/>
    <w:rsid w:val="00C77030"/>
    <w:rsid w:val="00C91781"/>
    <w:rsid w:val="00C92BA6"/>
    <w:rsid w:val="00CA249F"/>
    <w:rsid w:val="00CA3343"/>
    <w:rsid w:val="00CB1120"/>
    <w:rsid w:val="00CB1E31"/>
    <w:rsid w:val="00CB34FA"/>
    <w:rsid w:val="00CD6A88"/>
    <w:rsid w:val="00CE0520"/>
    <w:rsid w:val="00CE58D5"/>
    <w:rsid w:val="00CF0716"/>
    <w:rsid w:val="00CF1B8B"/>
    <w:rsid w:val="00CF4844"/>
    <w:rsid w:val="00CF59B1"/>
    <w:rsid w:val="00CF797B"/>
    <w:rsid w:val="00D00BBD"/>
    <w:rsid w:val="00D059A6"/>
    <w:rsid w:val="00D066F8"/>
    <w:rsid w:val="00D14944"/>
    <w:rsid w:val="00D160BE"/>
    <w:rsid w:val="00D16E01"/>
    <w:rsid w:val="00D20604"/>
    <w:rsid w:val="00D226CD"/>
    <w:rsid w:val="00D23877"/>
    <w:rsid w:val="00D23E49"/>
    <w:rsid w:val="00D27036"/>
    <w:rsid w:val="00D31836"/>
    <w:rsid w:val="00D32135"/>
    <w:rsid w:val="00D37BEF"/>
    <w:rsid w:val="00D44083"/>
    <w:rsid w:val="00D454A0"/>
    <w:rsid w:val="00D526C6"/>
    <w:rsid w:val="00D7206F"/>
    <w:rsid w:val="00D7511D"/>
    <w:rsid w:val="00D800F8"/>
    <w:rsid w:val="00D86695"/>
    <w:rsid w:val="00D928DF"/>
    <w:rsid w:val="00D97D33"/>
    <w:rsid w:val="00DA04EE"/>
    <w:rsid w:val="00DA3A88"/>
    <w:rsid w:val="00DA7B56"/>
    <w:rsid w:val="00DB263B"/>
    <w:rsid w:val="00DB4CC1"/>
    <w:rsid w:val="00DB4D77"/>
    <w:rsid w:val="00DC4FD6"/>
    <w:rsid w:val="00DD56D6"/>
    <w:rsid w:val="00DD5D8A"/>
    <w:rsid w:val="00DE2371"/>
    <w:rsid w:val="00DE2FD4"/>
    <w:rsid w:val="00DE61DF"/>
    <w:rsid w:val="00DF25D8"/>
    <w:rsid w:val="00DF3C3C"/>
    <w:rsid w:val="00DF4D0E"/>
    <w:rsid w:val="00DF6E1A"/>
    <w:rsid w:val="00E012D2"/>
    <w:rsid w:val="00E01332"/>
    <w:rsid w:val="00E077C0"/>
    <w:rsid w:val="00E139BF"/>
    <w:rsid w:val="00E174E2"/>
    <w:rsid w:val="00E17957"/>
    <w:rsid w:val="00E205EA"/>
    <w:rsid w:val="00E312A3"/>
    <w:rsid w:val="00E35518"/>
    <w:rsid w:val="00E360D2"/>
    <w:rsid w:val="00E52B17"/>
    <w:rsid w:val="00E56B7A"/>
    <w:rsid w:val="00E620FF"/>
    <w:rsid w:val="00E62224"/>
    <w:rsid w:val="00E63ADE"/>
    <w:rsid w:val="00E72185"/>
    <w:rsid w:val="00E8281C"/>
    <w:rsid w:val="00E8374F"/>
    <w:rsid w:val="00E91C60"/>
    <w:rsid w:val="00E931A8"/>
    <w:rsid w:val="00E95C89"/>
    <w:rsid w:val="00EA030A"/>
    <w:rsid w:val="00EB09F0"/>
    <w:rsid w:val="00EB11FF"/>
    <w:rsid w:val="00EB2426"/>
    <w:rsid w:val="00EB3741"/>
    <w:rsid w:val="00EC5B4B"/>
    <w:rsid w:val="00EC6766"/>
    <w:rsid w:val="00ED0B55"/>
    <w:rsid w:val="00EE2385"/>
    <w:rsid w:val="00EE49C1"/>
    <w:rsid w:val="00EE50BF"/>
    <w:rsid w:val="00EE6F0F"/>
    <w:rsid w:val="00EF206E"/>
    <w:rsid w:val="00EF53CD"/>
    <w:rsid w:val="00F11399"/>
    <w:rsid w:val="00F12B54"/>
    <w:rsid w:val="00F1739C"/>
    <w:rsid w:val="00F1750A"/>
    <w:rsid w:val="00F27EC8"/>
    <w:rsid w:val="00F31C1E"/>
    <w:rsid w:val="00F3651B"/>
    <w:rsid w:val="00F36B5E"/>
    <w:rsid w:val="00F42E6A"/>
    <w:rsid w:val="00F43BE6"/>
    <w:rsid w:val="00F56F6E"/>
    <w:rsid w:val="00F6497A"/>
    <w:rsid w:val="00F738DD"/>
    <w:rsid w:val="00F80551"/>
    <w:rsid w:val="00F86E20"/>
    <w:rsid w:val="00F94416"/>
    <w:rsid w:val="00F955DC"/>
    <w:rsid w:val="00F96C9D"/>
    <w:rsid w:val="00FA3FEF"/>
    <w:rsid w:val="00FA7590"/>
    <w:rsid w:val="00FB0211"/>
    <w:rsid w:val="00FB23BE"/>
    <w:rsid w:val="00FB45D4"/>
    <w:rsid w:val="00FC3CE2"/>
    <w:rsid w:val="00FC4C80"/>
    <w:rsid w:val="00FC7BE3"/>
    <w:rsid w:val="00FD048B"/>
    <w:rsid w:val="00FD13E3"/>
    <w:rsid w:val="00FD28F2"/>
    <w:rsid w:val="00FD6CE9"/>
    <w:rsid w:val="00FE4230"/>
    <w:rsid w:val="00FE577A"/>
    <w:rsid w:val="00FE5B5F"/>
    <w:rsid w:val="00FE6623"/>
    <w:rsid w:val="00FF30B0"/>
    <w:rsid w:val="00FF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A6297"/>
  <w14:defaultImageDpi w14:val="300"/>
  <w15:docId w15:val="{2C32EF9F-6778-4580-A733-8DCEED15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BB"/>
    <w:pPr>
      <w:spacing w:after="24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45F99"/>
    <w:pPr>
      <w:numPr>
        <w:numId w:val="8"/>
      </w:numPr>
      <w:spacing w:after="180"/>
      <w:jc w:val="both"/>
    </w:pPr>
    <w:rPr>
      <w:rFonts w:eastAsiaTheme="minorHAnsi"/>
    </w:rPr>
  </w:style>
  <w:style w:type="paragraph" w:styleId="ListNumber2">
    <w:name w:val="List Number 2"/>
    <w:basedOn w:val="Normal"/>
    <w:autoRedefine/>
    <w:uiPriority w:val="99"/>
    <w:unhideWhenUsed/>
    <w:qFormat/>
    <w:rsid w:val="009673BB"/>
    <w:pPr>
      <w:numPr>
        <w:numId w:val="4"/>
      </w:numPr>
      <w:spacing w:after="120"/>
    </w:pPr>
    <w:rPr>
      <w:rFonts w:eastAsiaTheme="minorHAnsi"/>
    </w:rPr>
  </w:style>
  <w:style w:type="character" w:styleId="Hyperlink">
    <w:name w:val="Hyperlink"/>
    <w:basedOn w:val="DefaultParagraphFont"/>
    <w:uiPriority w:val="99"/>
    <w:unhideWhenUsed/>
    <w:rsid w:val="0064713F"/>
    <w:rPr>
      <w:color w:val="0000FF" w:themeColor="hyperlink"/>
      <w:u w:val="single"/>
    </w:rPr>
  </w:style>
  <w:style w:type="paragraph" w:styleId="Footer">
    <w:name w:val="footer"/>
    <w:basedOn w:val="Normal"/>
    <w:link w:val="FooterChar"/>
    <w:uiPriority w:val="99"/>
    <w:unhideWhenUsed/>
    <w:rsid w:val="00E174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74E2"/>
  </w:style>
  <w:style w:type="character" w:styleId="PageNumber">
    <w:name w:val="page number"/>
    <w:basedOn w:val="DefaultParagraphFont"/>
    <w:uiPriority w:val="99"/>
    <w:semiHidden/>
    <w:unhideWhenUsed/>
    <w:rsid w:val="00E174E2"/>
  </w:style>
  <w:style w:type="paragraph" w:styleId="NormalWeb">
    <w:name w:val="Normal (Web)"/>
    <w:basedOn w:val="Normal"/>
    <w:uiPriority w:val="99"/>
    <w:semiHidden/>
    <w:unhideWhenUsed/>
    <w:rsid w:val="00C07A76"/>
    <w:pPr>
      <w:spacing w:before="100" w:beforeAutospacing="1" w:after="100" w:afterAutospacing="1" w:line="240" w:lineRule="auto"/>
    </w:pPr>
    <w:rPr>
      <w:sz w:val="24"/>
      <w:szCs w:val="24"/>
    </w:rPr>
  </w:style>
  <w:style w:type="paragraph" w:styleId="FootnoteText">
    <w:name w:val="footnote text"/>
    <w:basedOn w:val="Normal"/>
    <w:link w:val="FootnoteTextChar"/>
    <w:uiPriority w:val="99"/>
    <w:unhideWhenUsed/>
    <w:rsid w:val="00E012D2"/>
    <w:pPr>
      <w:spacing w:after="0" w:line="240" w:lineRule="auto"/>
    </w:pPr>
    <w:rPr>
      <w:sz w:val="24"/>
      <w:szCs w:val="24"/>
    </w:rPr>
  </w:style>
  <w:style w:type="character" w:customStyle="1" w:styleId="FootnoteTextChar">
    <w:name w:val="Footnote Text Char"/>
    <w:basedOn w:val="DefaultParagraphFont"/>
    <w:link w:val="FootnoteText"/>
    <w:uiPriority w:val="99"/>
    <w:rsid w:val="00E012D2"/>
    <w:rPr>
      <w:sz w:val="24"/>
      <w:szCs w:val="24"/>
    </w:rPr>
  </w:style>
  <w:style w:type="character" w:styleId="FootnoteReference">
    <w:name w:val="footnote reference"/>
    <w:basedOn w:val="DefaultParagraphFont"/>
    <w:uiPriority w:val="99"/>
    <w:unhideWhenUsed/>
    <w:rsid w:val="00E01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23887">
      <w:bodyDiv w:val="1"/>
      <w:marLeft w:val="0"/>
      <w:marRight w:val="0"/>
      <w:marTop w:val="0"/>
      <w:marBottom w:val="0"/>
      <w:divBdr>
        <w:top w:val="none" w:sz="0" w:space="0" w:color="auto"/>
        <w:left w:val="none" w:sz="0" w:space="0" w:color="auto"/>
        <w:bottom w:val="none" w:sz="0" w:space="0" w:color="auto"/>
        <w:right w:val="none" w:sz="0" w:space="0" w:color="auto"/>
      </w:divBdr>
    </w:div>
    <w:div w:id="411968306">
      <w:bodyDiv w:val="1"/>
      <w:marLeft w:val="0"/>
      <w:marRight w:val="0"/>
      <w:marTop w:val="0"/>
      <w:marBottom w:val="0"/>
      <w:divBdr>
        <w:top w:val="none" w:sz="0" w:space="0" w:color="auto"/>
        <w:left w:val="none" w:sz="0" w:space="0" w:color="auto"/>
        <w:bottom w:val="none" w:sz="0" w:space="0" w:color="auto"/>
        <w:right w:val="none" w:sz="0" w:space="0" w:color="auto"/>
      </w:divBdr>
      <w:divsChild>
        <w:div w:id="16010780">
          <w:marLeft w:val="0"/>
          <w:marRight w:val="0"/>
          <w:marTop w:val="0"/>
          <w:marBottom w:val="0"/>
          <w:divBdr>
            <w:top w:val="none" w:sz="0" w:space="0" w:color="auto"/>
            <w:left w:val="none" w:sz="0" w:space="0" w:color="auto"/>
            <w:bottom w:val="none" w:sz="0" w:space="0" w:color="auto"/>
            <w:right w:val="none" w:sz="0" w:space="0" w:color="auto"/>
          </w:divBdr>
          <w:divsChild>
            <w:div w:id="1778015432">
              <w:marLeft w:val="0"/>
              <w:marRight w:val="0"/>
              <w:marTop w:val="0"/>
              <w:marBottom w:val="0"/>
              <w:divBdr>
                <w:top w:val="none" w:sz="0" w:space="0" w:color="auto"/>
                <w:left w:val="none" w:sz="0" w:space="0" w:color="auto"/>
                <w:bottom w:val="none" w:sz="0" w:space="0" w:color="auto"/>
                <w:right w:val="none" w:sz="0" w:space="0" w:color="auto"/>
              </w:divBdr>
              <w:divsChild>
                <w:div w:id="1562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0635">
      <w:bodyDiv w:val="1"/>
      <w:marLeft w:val="0"/>
      <w:marRight w:val="0"/>
      <w:marTop w:val="0"/>
      <w:marBottom w:val="0"/>
      <w:divBdr>
        <w:top w:val="none" w:sz="0" w:space="0" w:color="auto"/>
        <w:left w:val="none" w:sz="0" w:space="0" w:color="auto"/>
        <w:bottom w:val="none" w:sz="0" w:space="0" w:color="auto"/>
        <w:right w:val="none" w:sz="0" w:space="0" w:color="auto"/>
      </w:divBdr>
    </w:div>
    <w:div w:id="909927447">
      <w:bodyDiv w:val="1"/>
      <w:marLeft w:val="0"/>
      <w:marRight w:val="0"/>
      <w:marTop w:val="0"/>
      <w:marBottom w:val="0"/>
      <w:divBdr>
        <w:top w:val="none" w:sz="0" w:space="0" w:color="auto"/>
        <w:left w:val="none" w:sz="0" w:space="0" w:color="auto"/>
        <w:bottom w:val="none" w:sz="0" w:space="0" w:color="auto"/>
        <w:right w:val="none" w:sz="0" w:space="0" w:color="auto"/>
      </w:divBdr>
      <w:divsChild>
        <w:div w:id="56364234">
          <w:marLeft w:val="0"/>
          <w:marRight w:val="0"/>
          <w:marTop w:val="0"/>
          <w:marBottom w:val="0"/>
          <w:divBdr>
            <w:top w:val="none" w:sz="0" w:space="0" w:color="auto"/>
            <w:left w:val="none" w:sz="0" w:space="0" w:color="auto"/>
            <w:bottom w:val="none" w:sz="0" w:space="0" w:color="auto"/>
            <w:right w:val="none" w:sz="0" w:space="0" w:color="auto"/>
          </w:divBdr>
          <w:divsChild>
            <w:div w:id="766272959">
              <w:marLeft w:val="0"/>
              <w:marRight w:val="0"/>
              <w:marTop w:val="0"/>
              <w:marBottom w:val="0"/>
              <w:divBdr>
                <w:top w:val="none" w:sz="0" w:space="0" w:color="auto"/>
                <w:left w:val="none" w:sz="0" w:space="0" w:color="auto"/>
                <w:bottom w:val="none" w:sz="0" w:space="0" w:color="auto"/>
                <w:right w:val="none" w:sz="0" w:space="0" w:color="auto"/>
              </w:divBdr>
              <w:divsChild>
                <w:div w:id="12025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61050">
      <w:bodyDiv w:val="1"/>
      <w:marLeft w:val="0"/>
      <w:marRight w:val="0"/>
      <w:marTop w:val="0"/>
      <w:marBottom w:val="0"/>
      <w:divBdr>
        <w:top w:val="none" w:sz="0" w:space="0" w:color="auto"/>
        <w:left w:val="none" w:sz="0" w:space="0" w:color="auto"/>
        <w:bottom w:val="none" w:sz="0" w:space="0" w:color="auto"/>
        <w:right w:val="none" w:sz="0" w:space="0" w:color="auto"/>
      </w:divBdr>
      <w:divsChild>
        <w:div w:id="1434321907">
          <w:marLeft w:val="0"/>
          <w:marRight w:val="0"/>
          <w:marTop w:val="0"/>
          <w:marBottom w:val="0"/>
          <w:divBdr>
            <w:top w:val="none" w:sz="0" w:space="0" w:color="auto"/>
            <w:left w:val="none" w:sz="0" w:space="0" w:color="auto"/>
            <w:bottom w:val="none" w:sz="0" w:space="0" w:color="auto"/>
            <w:right w:val="none" w:sz="0" w:space="0" w:color="auto"/>
          </w:divBdr>
          <w:divsChild>
            <w:div w:id="381247253">
              <w:marLeft w:val="0"/>
              <w:marRight w:val="0"/>
              <w:marTop w:val="0"/>
              <w:marBottom w:val="0"/>
              <w:divBdr>
                <w:top w:val="none" w:sz="0" w:space="0" w:color="auto"/>
                <w:left w:val="none" w:sz="0" w:space="0" w:color="auto"/>
                <w:bottom w:val="none" w:sz="0" w:space="0" w:color="auto"/>
                <w:right w:val="none" w:sz="0" w:space="0" w:color="auto"/>
              </w:divBdr>
              <w:divsChild>
                <w:div w:id="3052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Colin West</cp:lastModifiedBy>
  <cp:revision>2</cp:revision>
  <cp:lastPrinted>2016-07-08T14:07:00Z</cp:lastPrinted>
  <dcterms:created xsi:type="dcterms:W3CDTF">2016-12-08T12:47:00Z</dcterms:created>
  <dcterms:modified xsi:type="dcterms:W3CDTF">2016-12-08T12:47:00Z</dcterms:modified>
</cp:coreProperties>
</file>