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D2A" w:rsidRPr="00374D2A" w:rsidRDefault="00374D2A" w:rsidP="00374D2A">
      <w:pPr>
        <w:spacing w:before="120" w:after="120" w:line="360" w:lineRule="auto"/>
        <w:jc w:val="center"/>
        <w:rPr>
          <w:rStyle w:val="Strong"/>
          <w:i/>
          <w:color w:val="000000"/>
          <w:shd w:val="clear" w:color="auto" w:fill="FFFFFF"/>
        </w:rPr>
      </w:pPr>
      <w:r w:rsidRPr="00374D2A">
        <w:rPr>
          <w:rStyle w:val="Strong"/>
          <w:i/>
          <w:color w:val="000000"/>
          <w:shd w:val="clear" w:color="auto" w:fill="FFFFFF"/>
        </w:rPr>
        <w:t xml:space="preserve">“Are there any circumstances (and if so, what are they) in which the Court may </w:t>
      </w:r>
    </w:p>
    <w:p w:rsidR="00374D2A" w:rsidRPr="00374D2A" w:rsidRDefault="00374D2A" w:rsidP="00374D2A">
      <w:pPr>
        <w:spacing w:before="120" w:after="120" w:line="360" w:lineRule="auto"/>
        <w:jc w:val="center"/>
        <w:rPr>
          <w:rStyle w:val="Strong"/>
          <w:i/>
          <w:color w:val="000000"/>
          <w:shd w:val="clear" w:color="auto" w:fill="FFFFFF"/>
        </w:rPr>
      </w:pPr>
      <w:r w:rsidRPr="00374D2A">
        <w:rPr>
          <w:rStyle w:val="Strong"/>
          <w:i/>
          <w:color w:val="000000"/>
          <w:shd w:val="clear" w:color="auto" w:fill="FFFFFF"/>
        </w:rPr>
        <w:t xml:space="preserve">refuse to give effect to contractual provisions on the ground of repugnancy? </w:t>
      </w:r>
    </w:p>
    <w:p w:rsidR="00B71ACA" w:rsidRPr="00374D2A" w:rsidRDefault="00374D2A" w:rsidP="00374D2A">
      <w:pPr>
        <w:spacing w:before="120" w:after="120" w:line="360" w:lineRule="auto"/>
        <w:jc w:val="center"/>
        <w:rPr>
          <w:rStyle w:val="Strong"/>
          <w:i/>
          <w:color w:val="000000"/>
          <w:shd w:val="clear" w:color="auto" w:fill="FFFFFF"/>
        </w:rPr>
      </w:pPr>
      <w:r w:rsidRPr="00374D2A">
        <w:rPr>
          <w:rStyle w:val="Strong"/>
          <w:i/>
          <w:color w:val="000000"/>
          <w:shd w:val="clear" w:color="auto" w:fill="FFFFFF"/>
        </w:rPr>
        <w:t>Should the Court have such a power?”</w:t>
      </w:r>
    </w:p>
    <w:p w:rsidR="00374D2A" w:rsidRDefault="00374D2A" w:rsidP="00374D2A">
      <w:pPr>
        <w:keepNext/>
        <w:spacing w:before="120" w:after="120" w:line="360" w:lineRule="auto"/>
        <w:rPr>
          <w:rStyle w:val="Strong"/>
          <w:b w:val="0"/>
        </w:rPr>
      </w:pPr>
      <w:r w:rsidRPr="00374D2A">
        <w:rPr>
          <w:rStyle w:val="Strong"/>
        </w:rPr>
        <w:t>Introduction</w:t>
      </w:r>
    </w:p>
    <w:p w:rsidR="00FE2A22" w:rsidRPr="00FE2A22" w:rsidRDefault="00FE2A22" w:rsidP="00D07E0C">
      <w:pPr>
        <w:spacing w:before="120" w:after="120" w:line="360" w:lineRule="auto"/>
        <w:ind w:left="1134" w:right="521"/>
        <w:jc w:val="both"/>
        <w:rPr>
          <w:rStyle w:val="Strong"/>
          <w:b w:val="0"/>
        </w:rPr>
      </w:pPr>
      <w:r w:rsidRPr="00FE2A22">
        <w:rPr>
          <w:rStyle w:val="Strong"/>
          <w:b w:val="0"/>
        </w:rPr>
        <w:t>‘One may safely say that the parties cannot, in a contract, have contemplated that [an exclusion] clause should have so wide an ambit as in effect to deprive one party’s stipulations of all contractual force: to do so would be to reduce the contract to a mere declaration of intent.’</w:t>
      </w:r>
    </w:p>
    <w:p w:rsidR="00821C0C" w:rsidRDefault="00FE2A22" w:rsidP="00A66490">
      <w:pPr>
        <w:pStyle w:val="ListParagraph"/>
        <w:rPr>
          <w:rStyle w:val="Strong"/>
          <w:b w:val="0"/>
        </w:rPr>
      </w:pPr>
      <w:r>
        <w:rPr>
          <w:rStyle w:val="Strong"/>
          <w:b w:val="0"/>
        </w:rPr>
        <w:t xml:space="preserve">This sentence, from Lord Wilberforce’s speech in </w:t>
      </w:r>
      <w:r>
        <w:rPr>
          <w:rStyle w:val="Strong"/>
          <w:b w:val="0"/>
          <w:i/>
        </w:rPr>
        <w:t xml:space="preserve">Suisse </w:t>
      </w:r>
      <w:r w:rsidRPr="00B16791">
        <w:rPr>
          <w:rStyle w:val="Strong"/>
          <w:b w:val="0"/>
          <w:i/>
        </w:rPr>
        <w:t>Atlantique</w:t>
      </w:r>
      <w:r w:rsidR="00B16791" w:rsidRPr="00B16791">
        <w:rPr>
          <w:rStyle w:val="Strong"/>
          <w:b w:val="0"/>
          <w:i/>
        </w:rPr>
        <w:t xml:space="preserve"> v </w:t>
      </w:r>
      <w:r w:rsidR="00B16791" w:rsidRPr="00B16791">
        <w:rPr>
          <w:rFonts w:ascii="Times New Roman" w:hAnsi="Times New Roman" w:cs="Times New Roman"/>
          <w:i/>
          <w:sz w:val="24"/>
          <w:szCs w:val="24"/>
        </w:rPr>
        <w:t>Rotterdamsche</w:t>
      </w:r>
      <w:r>
        <w:rPr>
          <w:rStyle w:val="Strong"/>
          <w:b w:val="0"/>
        </w:rPr>
        <w:t>,</w:t>
      </w:r>
      <w:r w:rsidR="000D7DAC">
        <w:rPr>
          <w:rStyle w:val="FootnoteReference"/>
          <w:rFonts w:ascii="Times New Roman" w:hAnsi="Times New Roman" w:cs="Times New Roman"/>
          <w:bCs/>
          <w:sz w:val="24"/>
          <w:szCs w:val="24"/>
        </w:rPr>
        <w:footnoteReference w:id="1"/>
      </w:r>
      <w:r>
        <w:rPr>
          <w:rStyle w:val="Strong"/>
          <w:b w:val="0"/>
        </w:rPr>
        <w:t xml:space="preserve"> is the modern </w:t>
      </w:r>
      <w:r w:rsidR="00821C0C">
        <w:rPr>
          <w:rStyle w:val="Strong"/>
          <w:b w:val="0"/>
        </w:rPr>
        <w:t>plank</w:t>
      </w:r>
      <w:r>
        <w:rPr>
          <w:rStyle w:val="Strong"/>
          <w:b w:val="0"/>
        </w:rPr>
        <w:t xml:space="preserve"> upon which the repugnancy doctrine</w:t>
      </w:r>
      <w:r w:rsidR="00821C0C">
        <w:rPr>
          <w:rStyle w:val="Strong"/>
          <w:b w:val="0"/>
        </w:rPr>
        <w:t xml:space="preserve"> has been built</w:t>
      </w:r>
      <w:r w:rsidR="00412CEC">
        <w:rPr>
          <w:rStyle w:val="Strong"/>
          <w:b w:val="0"/>
        </w:rPr>
        <w:t>.  Tha</w:t>
      </w:r>
      <w:r>
        <w:rPr>
          <w:rStyle w:val="Strong"/>
          <w:b w:val="0"/>
        </w:rPr>
        <w:t xml:space="preserve">t </w:t>
      </w:r>
      <w:r w:rsidR="00412CEC">
        <w:rPr>
          <w:rStyle w:val="Strong"/>
          <w:b w:val="0"/>
        </w:rPr>
        <w:t xml:space="preserve">doctrine </w:t>
      </w:r>
      <w:r>
        <w:rPr>
          <w:rStyle w:val="Strong"/>
          <w:b w:val="0"/>
        </w:rPr>
        <w:t xml:space="preserve">emphasises </w:t>
      </w:r>
      <w:r w:rsidR="00A66490">
        <w:rPr>
          <w:rStyle w:val="Strong"/>
          <w:b w:val="0"/>
        </w:rPr>
        <w:t xml:space="preserve">in </w:t>
      </w:r>
      <w:r>
        <w:rPr>
          <w:rStyle w:val="Strong"/>
          <w:b w:val="0"/>
        </w:rPr>
        <w:t xml:space="preserve">the well-hallowed </w:t>
      </w:r>
      <w:r w:rsidR="00A66490">
        <w:rPr>
          <w:rStyle w:val="Strong"/>
          <w:b w:val="0"/>
        </w:rPr>
        <w:t xml:space="preserve">phrase </w:t>
      </w:r>
      <w:r>
        <w:rPr>
          <w:rStyle w:val="Strong"/>
          <w:b w:val="0"/>
        </w:rPr>
        <w:t>‘freedom of contract’</w:t>
      </w:r>
      <w:r w:rsidR="00A66490">
        <w:rPr>
          <w:rStyle w:val="Strong"/>
          <w:b w:val="0"/>
        </w:rPr>
        <w:t xml:space="preserve"> the latter rather than the former element: that parties are free to contract, but wh</w:t>
      </w:r>
      <w:r w:rsidR="0075717C">
        <w:rPr>
          <w:rStyle w:val="Strong"/>
          <w:b w:val="0"/>
        </w:rPr>
        <w:t xml:space="preserve">at they have created must consist of </w:t>
      </w:r>
      <w:r w:rsidR="00A66490">
        <w:rPr>
          <w:rStyle w:val="Strong"/>
          <w:b w:val="0"/>
        </w:rPr>
        <w:t>reciprocal</w:t>
      </w:r>
      <w:r w:rsidR="0075717C">
        <w:rPr>
          <w:rStyle w:val="Strong"/>
          <w:b w:val="0"/>
        </w:rPr>
        <w:t xml:space="preserve"> and enforceable</w:t>
      </w:r>
      <w:r w:rsidR="00A66490">
        <w:rPr>
          <w:rStyle w:val="Strong"/>
          <w:b w:val="0"/>
        </w:rPr>
        <w:t xml:space="preserve"> rights and obligations.</w:t>
      </w:r>
    </w:p>
    <w:p w:rsidR="00A66490" w:rsidRPr="00A66490" w:rsidRDefault="00821C0C" w:rsidP="00A66490">
      <w:pPr>
        <w:pStyle w:val="ListParagraph"/>
        <w:rPr>
          <w:rStyle w:val="Strong"/>
          <w:b w:val="0"/>
        </w:rPr>
      </w:pPr>
      <w:r>
        <w:rPr>
          <w:rStyle w:val="Strong"/>
          <w:b w:val="0"/>
        </w:rPr>
        <w:t>The doctrine</w:t>
      </w:r>
      <w:r w:rsidR="004B6604">
        <w:rPr>
          <w:rStyle w:val="Strong"/>
          <w:b w:val="0"/>
        </w:rPr>
        <w:t xml:space="preserve"> bites</w:t>
      </w:r>
      <w:r>
        <w:rPr>
          <w:rStyle w:val="Strong"/>
          <w:b w:val="0"/>
        </w:rPr>
        <w:t xml:space="preserve"> </w:t>
      </w:r>
      <w:r w:rsidR="004B6604">
        <w:rPr>
          <w:rStyle w:val="Strong"/>
          <w:b w:val="0"/>
        </w:rPr>
        <w:t xml:space="preserve">when </w:t>
      </w:r>
      <w:r>
        <w:rPr>
          <w:rStyle w:val="Strong"/>
          <w:b w:val="0"/>
        </w:rPr>
        <w:t>a clause – generally an exclusion clause – is so wide</w:t>
      </w:r>
      <w:r w:rsidR="004B6604">
        <w:rPr>
          <w:rStyle w:val="Strong"/>
          <w:b w:val="0"/>
        </w:rPr>
        <w:t>ly drawn</w:t>
      </w:r>
      <w:r>
        <w:rPr>
          <w:rStyle w:val="Strong"/>
          <w:b w:val="0"/>
        </w:rPr>
        <w:t xml:space="preserve"> that it effectively renders one party’</w:t>
      </w:r>
      <w:r w:rsidR="004B6604">
        <w:rPr>
          <w:rStyle w:val="Strong"/>
          <w:b w:val="0"/>
        </w:rPr>
        <w:t xml:space="preserve">s obligations wholly illusory.  </w:t>
      </w:r>
      <w:r w:rsidR="00B16791">
        <w:rPr>
          <w:rStyle w:val="Strong"/>
          <w:b w:val="0"/>
        </w:rPr>
        <w:t>This point is clear enough, but it</w:t>
      </w:r>
      <w:r w:rsidR="004B6604">
        <w:rPr>
          <w:rStyle w:val="Strong"/>
          <w:b w:val="0"/>
        </w:rPr>
        <w:t xml:space="preserve"> is </w:t>
      </w:r>
      <w:r w:rsidR="00214413">
        <w:rPr>
          <w:rStyle w:val="Strong"/>
          <w:b w:val="0"/>
        </w:rPr>
        <w:t>almost the only point</w:t>
      </w:r>
      <w:r w:rsidR="004B6604">
        <w:rPr>
          <w:rStyle w:val="Strong"/>
          <w:b w:val="0"/>
        </w:rPr>
        <w:t xml:space="preserve"> that is certain: it is not clear whether the doctrine is a rule of law or simply a principle of construction; nor is it certain </w:t>
      </w:r>
      <w:r w:rsidR="002E5117">
        <w:rPr>
          <w:rStyle w:val="Strong"/>
          <w:b w:val="0"/>
        </w:rPr>
        <w:t xml:space="preserve">as to </w:t>
      </w:r>
      <w:r w:rsidR="004B6604">
        <w:rPr>
          <w:rStyle w:val="Strong"/>
          <w:b w:val="0"/>
        </w:rPr>
        <w:t>what the effect of a successful plea to the doctrine</w:t>
      </w:r>
      <w:r w:rsidR="00214413">
        <w:rPr>
          <w:rStyle w:val="Strong"/>
          <w:b w:val="0"/>
        </w:rPr>
        <w:t xml:space="preserve"> should be</w:t>
      </w:r>
      <w:r w:rsidR="004B6604">
        <w:rPr>
          <w:rStyle w:val="Strong"/>
          <w:b w:val="0"/>
        </w:rPr>
        <w:t>.</w:t>
      </w:r>
    </w:p>
    <w:p w:rsidR="00A66490" w:rsidRDefault="00A66490" w:rsidP="00FE2A22">
      <w:pPr>
        <w:pStyle w:val="ListParagraph"/>
        <w:rPr>
          <w:rStyle w:val="Strong"/>
          <w:b w:val="0"/>
        </w:rPr>
      </w:pPr>
      <w:r>
        <w:rPr>
          <w:rStyle w:val="Strong"/>
          <w:b w:val="0"/>
        </w:rPr>
        <w:t xml:space="preserve">The doctrine </w:t>
      </w:r>
      <w:r w:rsidR="00470E62">
        <w:rPr>
          <w:rStyle w:val="Strong"/>
          <w:b w:val="0"/>
        </w:rPr>
        <w:t xml:space="preserve">has </w:t>
      </w:r>
      <w:r>
        <w:rPr>
          <w:rStyle w:val="Strong"/>
          <w:b w:val="0"/>
        </w:rPr>
        <w:t xml:space="preserve">never </w:t>
      </w:r>
      <w:r w:rsidR="00470E62">
        <w:rPr>
          <w:rStyle w:val="Strong"/>
          <w:b w:val="0"/>
        </w:rPr>
        <w:t xml:space="preserve">been </w:t>
      </w:r>
      <w:r>
        <w:rPr>
          <w:rStyle w:val="Strong"/>
          <w:b w:val="0"/>
        </w:rPr>
        <w:t xml:space="preserve">built on the firmest </w:t>
      </w:r>
      <w:r w:rsidR="00412CEC">
        <w:rPr>
          <w:rStyle w:val="Strong"/>
          <w:b w:val="0"/>
        </w:rPr>
        <w:t xml:space="preserve">of </w:t>
      </w:r>
      <w:r>
        <w:rPr>
          <w:rStyle w:val="Strong"/>
          <w:b w:val="0"/>
        </w:rPr>
        <w:t>foundations.  It grew out of</w:t>
      </w:r>
      <w:r w:rsidR="00357C2E">
        <w:rPr>
          <w:rStyle w:val="Strong"/>
          <w:b w:val="0"/>
        </w:rPr>
        <w:t xml:space="preserve"> the</w:t>
      </w:r>
      <w:r w:rsidR="00470E62">
        <w:rPr>
          <w:rStyle w:val="Strong"/>
          <w:b w:val="0"/>
        </w:rPr>
        <w:t xml:space="preserve"> </w:t>
      </w:r>
      <w:r w:rsidR="00D277D5">
        <w:rPr>
          <w:rStyle w:val="Strong"/>
          <w:b w:val="0"/>
        </w:rPr>
        <w:t xml:space="preserve">idea – </w:t>
      </w:r>
      <w:r w:rsidR="009D2CBC">
        <w:rPr>
          <w:rStyle w:val="Strong"/>
          <w:b w:val="0"/>
        </w:rPr>
        <w:t xml:space="preserve">now heretical </w:t>
      </w:r>
      <w:r w:rsidR="00D277D5">
        <w:rPr>
          <w:rStyle w:val="Strong"/>
          <w:b w:val="0"/>
        </w:rPr>
        <w:t xml:space="preserve">– of the </w:t>
      </w:r>
      <w:r w:rsidR="00470E62">
        <w:rPr>
          <w:rStyle w:val="Strong"/>
          <w:b w:val="0"/>
        </w:rPr>
        <w:t>‘fundamental breach’</w:t>
      </w:r>
      <w:r w:rsidR="00412CEC">
        <w:rPr>
          <w:rStyle w:val="Strong"/>
          <w:b w:val="0"/>
        </w:rPr>
        <w:t xml:space="preserve"> of contract:</w:t>
      </w:r>
      <w:r w:rsidR="00470E62">
        <w:rPr>
          <w:rStyle w:val="Strong"/>
          <w:b w:val="0"/>
        </w:rPr>
        <w:t xml:space="preserve"> </w:t>
      </w:r>
      <w:r w:rsidR="00734D41">
        <w:rPr>
          <w:rStyle w:val="Strong"/>
          <w:b w:val="0"/>
        </w:rPr>
        <w:t xml:space="preserve">a breach which, it was said, </w:t>
      </w:r>
      <w:r w:rsidR="00470E62">
        <w:rPr>
          <w:rStyle w:val="Strong"/>
          <w:b w:val="0"/>
        </w:rPr>
        <w:t xml:space="preserve">should be treated </w:t>
      </w:r>
      <w:r w:rsidR="00D277D5">
        <w:rPr>
          <w:rStyle w:val="Strong"/>
          <w:b w:val="0"/>
        </w:rPr>
        <w:t xml:space="preserve">differently </w:t>
      </w:r>
      <w:r w:rsidR="00412CEC">
        <w:rPr>
          <w:rStyle w:val="Strong"/>
          <w:b w:val="0"/>
        </w:rPr>
        <w:t>to</w:t>
      </w:r>
      <w:r w:rsidR="002E37B4">
        <w:rPr>
          <w:rStyle w:val="Strong"/>
          <w:b w:val="0"/>
        </w:rPr>
        <w:t xml:space="preserve"> </w:t>
      </w:r>
      <w:r w:rsidR="00470E62">
        <w:rPr>
          <w:rStyle w:val="Strong"/>
          <w:b w:val="0"/>
        </w:rPr>
        <w:t xml:space="preserve">other types of breach.  </w:t>
      </w:r>
      <w:r w:rsidR="00412CEC">
        <w:rPr>
          <w:rStyle w:val="Strong"/>
          <w:b w:val="0"/>
        </w:rPr>
        <w:t xml:space="preserve">This two-stranded </w:t>
      </w:r>
      <w:r w:rsidR="00B57D38">
        <w:rPr>
          <w:rStyle w:val="Strong"/>
          <w:b w:val="0"/>
        </w:rPr>
        <w:t xml:space="preserve">breach </w:t>
      </w:r>
      <w:r w:rsidR="00412CEC">
        <w:rPr>
          <w:rStyle w:val="Strong"/>
          <w:b w:val="0"/>
        </w:rPr>
        <w:t>categorisation</w:t>
      </w:r>
      <w:r w:rsidR="00470E62">
        <w:rPr>
          <w:rStyle w:val="Strong"/>
          <w:b w:val="0"/>
        </w:rPr>
        <w:t xml:space="preserve"> was rejected in </w:t>
      </w:r>
      <w:r w:rsidR="00470E62">
        <w:rPr>
          <w:rStyle w:val="Strong"/>
          <w:b w:val="0"/>
          <w:i/>
        </w:rPr>
        <w:t>Suisse Atlantique</w:t>
      </w:r>
      <w:r w:rsidR="00470E62">
        <w:rPr>
          <w:rStyle w:val="Strong"/>
          <w:b w:val="0"/>
        </w:rPr>
        <w:t xml:space="preserve"> and</w:t>
      </w:r>
      <w:r w:rsidR="001E00DC">
        <w:rPr>
          <w:rStyle w:val="Strong"/>
          <w:b w:val="0"/>
        </w:rPr>
        <w:t xml:space="preserve"> was finally put to rest </w:t>
      </w:r>
      <w:r w:rsidR="00470E62">
        <w:rPr>
          <w:rStyle w:val="Strong"/>
          <w:b w:val="0"/>
        </w:rPr>
        <w:t xml:space="preserve">in </w:t>
      </w:r>
      <w:r w:rsidR="00470E62">
        <w:rPr>
          <w:rStyle w:val="Strong"/>
          <w:b w:val="0"/>
          <w:i/>
        </w:rPr>
        <w:t>Photo Production</w:t>
      </w:r>
      <w:r w:rsidR="00FE0E36">
        <w:rPr>
          <w:rStyle w:val="Strong"/>
          <w:b w:val="0"/>
          <w:i/>
        </w:rPr>
        <w:t xml:space="preserve"> v Securicor</w:t>
      </w:r>
      <w:r w:rsidR="000D7DAC">
        <w:rPr>
          <w:rStyle w:val="Strong"/>
          <w:b w:val="0"/>
        </w:rPr>
        <w:t>.</w:t>
      </w:r>
      <w:r w:rsidR="000D7DAC">
        <w:rPr>
          <w:rStyle w:val="FootnoteReference"/>
          <w:rFonts w:ascii="Times New Roman" w:hAnsi="Times New Roman" w:cs="Times New Roman"/>
          <w:bCs/>
          <w:sz w:val="24"/>
          <w:szCs w:val="24"/>
        </w:rPr>
        <w:footnoteReference w:id="2"/>
      </w:r>
      <w:r w:rsidR="00470E62">
        <w:rPr>
          <w:rStyle w:val="Strong"/>
          <w:b w:val="0"/>
          <w:i/>
        </w:rPr>
        <w:t xml:space="preserve"> </w:t>
      </w:r>
    </w:p>
    <w:p w:rsidR="00D07E0C" w:rsidRDefault="00D07E0C" w:rsidP="00FE2A22">
      <w:pPr>
        <w:pStyle w:val="ListParagraph"/>
        <w:rPr>
          <w:rStyle w:val="Strong"/>
          <w:b w:val="0"/>
        </w:rPr>
      </w:pPr>
      <w:r>
        <w:rPr>
          <w:rStyle w:val="Strong"/>
          <w:b w:val="0"/>
        </w:rPr>
        <w:t xml:space="preserve">However, what arose out of </w:t>
      </w:r>
      <w:r w:rsidR="002C66FA">
        <w:rPr>
          <w:rStyle w:val="Strong"/>
          <w:b w:val="0"/>
        </w:rPr>
        <w:t xml:space="preserve">the ashes of fundamental breach </w:t>
      </w:r>
      <w:r>
        <w:rPr>
          <w:rStyle w:val="Strong"/>
          <w:b w:val="0"/>
        </w:rPr>
        <w:t xml:space="preserve">was the </w:t>
      </w:r>
      <w:r w:rsidR="00444E33">
        <w:rPr>
          <w:rStyle w:val="Strong"/>
          <w:b w:val="0"/>
        </w:rPr>
        <w:t>repugnancy doctrine:</w:t>
      </w:r>
      <w:r>
        <w:rPr>
          <w:rStyle w:val="Strong"/>
          <w:b w:val="0"/>
        </w:rPr>
        <w:t xml:space="preserve"> a residual</w:t>
      </w:r>
      <w:r w:rsidR="00995C59">
        <w:rPr>
          <w:rStyle w:val="Strong"/>
          <w:b w:val="0"/>
        </w:rPr>
        <w:t>, protective</w:t>
      </w:r>
      <w:r w:rsidR="00EB23E7">
        <w:rPr>
          <w:rStyle w:val="Strong"/>
          <w:b w:val="0"/>
        </w:rPr>
        <w:t xml:space="preserve"> principle, </w:t>
      </w:r>
      <w:r w:rsidR="00995C59">
        <w:rPr>
          <w:rStyle w:val="Strong"/>
          <w:b w:val="0"/>
        </w:rPr>
        <w:t xml:space="preserve">and </w:t>
      </w:r>
      <w:r w:rsidR="00EB23E7">
        <w:rPr>
          <w:rStyle w:val="Strong"/>
          <w:b w:val="0"/>
        </w:rPr>
        <w:t>one</w:t>
      </w:r>
      <w:r>
        <w:rPr>
          <w:rStyle w:val="Strong"/>
          <w:b w:val="0"/>
        </w:rPr>
        <w:t xml:space="preserve"> which</w:t>
      </w:r>
      <w:r w:rsidR="00995C59">
        <w:rPr>
          <w:rStyle w:val="Strong"/>
          <w:b w:val="0"/>
        </w:rPr>
        <w:t xml:space="preserve"> would entitle</w:t>
      </w:r>
      <w:r>
        <w:rPr>
          <w:rStyle w:val="Strong"/>
          <w:b w:val="0"/>
        </w:rPr>
        <w:t xml:space="preserve"> a court to disregard an exclusion clause where that clause </w:t>
      </w:r>
      <w:r w:rsidR="00214413">
        <w:rPr>
          <w:rStyle w:val="Strong"/>
          <w:b w:val="0"/>
        </w:rPr>
        <w:t>had</w:t>
      </w:r>
      <w:r>
        <w:rPr>
          <w:rStyle w:val="Strong"/>
          <w:b w:val="0"/>
        </w:rPr>
        <w:t xml:space="preserve"> the effect of reducing the entirety of one party’s contractual obligations to mere declarations of intent.</w:t>
      </w:r>
    </w:p>
    <w:p w:rsidR="00810E08" w:rsidRDefault="002164ED" w:rsidP="00FE2A22">
      <w:pPr>
        <w:pStyle w:val="ListParagraph"/>
        <w:rPr>
          <w:rStyle w:val="Strong"/>
          <w:b w:val="0"/>
        </w:rPr>
      </w:pPr>
      <w:r>
        <w:rPr>
          <w:rStyle w:val="Strong"/>
          <w:b w:val="0"/>
        </w:rPr>
        <w:t>It might be thought peculiar that</w:t>
      </w:r>
      <w:r w:rsidR="00810E08">
        <w:rPr>
          <w:rStyle w:val="Strong"/>
          <w:b w:val="0"/>
        </w:rPr>
        <w:t xml:space="preserve"> such a doctrine exists</w:t>
      </w:r>
      <w:r>
        <w:rPr>
          <w:rStyle w:val="Strong"/>
          <w:b w:val="0"/>
        </w:rPr>
        <w:t xml:space="preserve"> at all.  After all, contractual interpretation, as we now know it, is all about determining the meaning a document </w:t>
      </w:r>
      <w:r>
        <w:rPr>
          <w:rStyle w:val="Strong"/>
          <w:b w:val="0"/>
        </w:rPr>
        <w:lastRenderedPageBreak/>
        <w:t>would convey to a reasonable person having all the background knowledge reasonably available to the parties</w:t>
      </w:r>
      <w:r w:rsidR="00810E08">
        <w:rPr>
          <w:rStyle w:val="Strong"/>
          <w:b w:val="0"/>
        </w:rPr>
        <w:t xml:space="preserve">: </w:t>
      </w:r>
      <w:r>
        <w:rPr>
          <w:rStyle w:val="Strong"/>
          <w:b w:val="0"/>
        </w:rPr>
        <w:t xml:space="preserve">and, </w:t>
      </w:r>
      <w:r w:rsidR="00810E08">
        <w:rPr>
          <w:rStyle w:val="Strong"/>
          <w:b w:val="0"/>
        </w:rPr>
        <w:t xml:space="preserve">if that </w:t>
      </w:r>
      <w:r>
        <w:rPr>
          <w:rStyle w:val="Strong"/>
          <w:b w:val="0"/>
        </w:rPr>
        <w:t xml:space="preserve">reasonable person concludes that what was intended was a very widely-drawn </w:t>
      </w:r>
      <w:r w:rsidR="00214413">
        <w:rPr>
          <w:rStyle w:val="Strong"/>
          <w:b w:val="0"/>
        </w:rPr>
        <w:t xml:space="preserve">exclusion </w:t>
      </w:r>
      <w:r>
        <w:rPr>
          <w:rStyle w:val="Strong"/>
          <w:b w:val="0"/>
        </w:rPr>
        <w:t xml:space="preserve">clause, then </w:t>
      </w:r>
      <w:r w:rsidR="00214413">
        <w:rPr>
          <w:rStyle w:val="Strong"/>
          <w:b w:val="0"/>
        </w:rPr>
        <w:t xml:space="preserve">that is what </w:t>
      </w:r>
      <w:r>
        <w:rPr>
          <w:rStyle w:val="Strong"/>
          <w:b w:val="0"/>
        </w:rPr>
        <w:t>the</w:t>
      </w:r>
      <w:r w:rsidR="00214413">
        <w:rPr>
          <w:rStyle w:val="Strong"/>
          <w:b w:val="0"/>
        </w:rPr>
        <w:t xml:space="preserve"> conclusion should be</w:t>
      </w:r>
      <w:r>
        <w:rPr>
          <w:rStyle w:val="Strong"/>
          <w:b w:val="0"/>
        </w:rPr>
        <w:t>.  T</w:t>
      </w:r>
      <w:r w:rsidR="00810E08">
        <w:rPr>
          <w:rStyle w:val="Strong"/>
          <w:b w:val="0"/>
        </w:rPr>
        <w:t xml:space="preserve">he law should strive to uphold rather than </w:t>
      </w:r>
      <w:r w:rsidR="0002493E">
        <w:rPr>
          <w:rStyle w:val="Strong"/>
          <w:b w:val="0"/>
        </w:rPr>
        <w:t xml:space="preserve">destroy </w:t>
      </w:r>
      <w:r w:rsidR="00810E08">
        <w:rPr>
          <w:rStyle w:val="Strong"/>
          <w:b w:val="0"/>
        </w:rPr>
        <w:t>that</w:t>
      </w:r>
      <w:r w:rsidR="00FB6088">
        <w:rPr>
          <w:rStyle w:val="Strong"/>
          <w:b w:val="0"/>
        </w:rPr>
        <w:t xml:space="preserve"> contractual</w:t>
      </w:r>
      <w:r w:rsidR="00810E08">
        <w:rPr>
          <w:rStyle w:val="Strong"/>
          <w:b w:val="0"/>
        </w:rPr>
        <w:t xml:space="preserve"> bargain</w:t>
      </w:r>
      <w:r w:rsidR="00FB6088">
        <w:rPr>
          <w:rStyle w:val="Strong"/>
          <w:b w:val="0"/>
        </w:rPr>
        <w:t>, however one-sided it might appear</w:t>
      </w:r>
      <w:r w:rsidR="00810E08">
        <w:rPr>
          <w:rStyle w:val="Strong"/>
          <w:b w:val="0"/>
        </w:rPr>
        <w:t xml:space="preserve">. </w:t>
      </w:r>
    </w:p>
    <w:p w:rsidR="008B5F83" w:rsidRDefault="00810E08" w:rsidP="00FE2A22">
      <w:pPr>
        <w:pStyle w:val="ListParagraph"/>
        <w:rPr>
          <w:rStyle w:val="Strong"/>
          <w:b w:val="0"/>
        </w:rPr>
      </w:pPr>
      <w:r>
        <w:rPr>
          <w:rStyle w:val="Strong"/>
          <w:b w:val="0"/>
        </w:rPr>
        <w:t>T</w:t>
      </w:r>
      <w:r w:rsidR="00A66490">
        <w:rPr>
          <w:rStyle w:val="Strong"/>
          <w:b w:val="0"/>
        </w:rPr>
        <w:t>his essay arg</w:t>
      </w:r>
      <w:r>
        <w:rPr>
          <w:rStyle w:val="Strong"/>
          <w:b w:val="0"/>
        </w:rPr>
        <w:t xml:space="preserve">ue that the repugnancy doctrine should be rejected: it is </w:t>
      </w:r>
      <w:r w:rsidR="00A66490">
        <w:rPr>
          <w:rStyle w:val="Strong"/>
          <w:b w:val="0"/>
          <w:i/>
        </w:rPr>
        <w:t>unprincipled</w:t>
      </w:r>
      <w:r w:rsidR="009D1962">
        <w:rPr>
          <w:rStyle w:val="Strong"/>
          <w:b w:val="0"/>
          <w:i/>
        </w:rPr>
        <w:t xml:space="preserve"> and uncertain</w:t>
      </w:r>
      <w:r w:rsidR="009D1962">
        <w:rPr>
          <w:rStyle w:val="Strong"/>
          <w:b w:val="0"/>
        </w:rPr>
        <w:t>;</w:t>
      </w:r>
      <w:r w:rsidR="00A66490">
        <w:rPr>
          <w:rStyle w:val="Strong"/>
          <w:b w:val="0"/>
        </w:rPr>
        <w:t xml:space="preserve"> </w:t>
      </w:r>
      <w:r>
        <w:rPr>
          <w:rStyle w:val="Strong"/>
          <w:b w:val="0"/>
        </w:rPr>
        <w:t xml:space="preserve">it </w:t>
      </w:r>
      <w:r w:rsidR="009D1962">
        <w:rPr>
          <w:rStyle w:val="Strong"/>
          <w:b w:val="0"/>
          <w:i/>
        </w:rPr>
        <w:t>sits uneasily with modern authorities</w:t>
      </w:r>
      <w:r w:rsidR="009D1962">
        <w:rPr>
          <w:rStyle w:val="Strong"/>
          <w:b w:val="0"/>
        </w:rPr>
        <w:t xml:space="preserve">; it is </w:t>
      </w:r>
      <w:r w:rsidR="009D1962">
        <w:rPr>
          <w:rStyle w:val="Strong"/>
          <w:b w:val="0"/>
          <w:i/>
        </w:rPr>
        <w:t>used as an argument of last resort in difficult cases</w:t>
      </w:r>
      <w:r w:rsidR="009D1962">
        <w:rPr>
          <w:rStyle w:val="Strong"/>
          <w:b w:val="0"/>
        </w:rPr>
        <w:t xml:space="preserve">; and, perhaps most importantly, it is </w:t>
      </w:r>
      <w:r w:rsidR="00FB2194">
        <w:rPr>
          <w:rStyle w:val="Strong"/>
          <w:b w:val="0"/>
        </w:rPr>
        <w:t xml:space="preserve">simply </w:t>
      </w:r>
      <w:r w:rsidR="009D1962">
        <w:rPr>
          <w:rStyle w:val="Strong"/>
          <w:b w:val="0"/>
          <w:i/>
        </w:rPr>
        <w:t>unnecessary</w:t>
      </w:r>
      <w:r w:rsidR="009D1962">
        <w:rPr>
          <w:rStyle w:val="Strong"/>
          <w:b w:val="0"/>
        </w:rPr>
        <w:t>.</w:t>
      </w:r>
    </w:p>
    <w:p w:rsidR="008B5F83" w:rsidRPr="00175D4A" w:rsidRDefault="00810E08" w:rsidP="00175D4A">
      <w:pPr>
        <w:pStyle w:val="ListParagraph"/>
        <w:rPr>
          <w:rStyle w:val="Strong"/>
          <w:b w:val="0"/>
        </w:rPr>
      </w:pPr>
      <w:r>
        <w:rPr>
          <w:rStyle w:val="Strong"/>
          <w:b w:val="0"/>
        </w:rPr>
        <w:t>The conclusion</w:t>
      </w:r>
      <w:r w:rsidR="008B5F83">
        <w:rPr>
          <w:rStyle w:val="Strong"/>
          <w:b w:val="0"/>
        </w:rPr>
        <w:t xml:space="preserve"> reached is that, much like the doctrine of fundamental breach, the repugnancy doctrine can be safe</w:t>
      </w:r>
      <w:r w:rsidR="00D7112E">
        <w:rPr>
          <w:rStyle w:val="Strong"/>
          <w:b w:val="0"/>
        </w:rPr>
        <w:t>ly discarded from English law.</w:t>
      </w:r>
    </w:p>
    <w:p w:rsidR="00374D2A" w:rsidRPr="00374D2A" w:rsidRDefault="002502EC" w:rsidP="00374D2A">
      <w:pPr>
        <w:keepNext/>
        <w:spacing w:before="120" w:after="120" w:line="360" w:lineRule="auto"/>
        <w:rPr>
          <w:rStyle w:val="Strong"/>
        </w:rPr>
      </w:pPr>
      <w:r>
        <w:rPr>
          <w:rStyle w:val="Strong"/>
        </w:rPr>
        <w:t xml:space="preserve">The current </w:t>
      </w:r>
      <w:r w:rsidR="00374D2A">
        <w:rPr>
          <w:rStyle w:val="Strong"/>
        </w:rPr>
        <w:t>law</w:t>
      </w:r>
    </w:p>
    <w:p w:rsidR="00F157F0" w:rsidRDefault="00175D4A" w:rsidP="00FE2A22">
      <w:pPr>
        <w:pStyle w:val="ListParagraph"/>
        <w:rPr>
          <w:rStyle w:val="Strong"/>
          <w:b w:val="0"/>
        </w:rPr>
      </w:pPr>
      <w:r>
        <w:rPr>
          <w:rStyle w:val="Strong"/>
          <w:b w:val="0"/>
        </w:rPr>
        <w:t xml:space="preserve">As already noted, the repugnancy doctrine has its modern roots in the </w:t>
      </w:r>
      <w:r>
        <w:rPr>
          <w:rStyle w:val="Strong"/>
          <w:b w:val="0"/>
          <w:i/>
        </w:rPr>
        <w:t>Suisse Atlantique</w:t>
      </w:r>
      <w:r>
        <w:rPr>
          <w:rStyle w:val="Strong"/>
          <w:b w:val="0"/>
        </w:rPr>
        <w:t xml:space="preserve"> case.  </w:t>
      </w:r>
      <w:r w:rsidR="00810288">
        <w:rPr>
          <w:rStyle w:val="Strong"/>
          <w:b w:val="0"/>
        </w:rPr>
        <w:t>The c</w:t>
      </w:r>
      <w:r w:rsidRPr="00821C0C">
        <w:rPr>
          <w:rStyle w:val="Strong"/>
          <w:b w:val="0"/>
        </w:rPr>
        <w:t>harterers</w:t>
      </w:r>
      <w:r>
        <w:rPr>
          <w:rStyle w:val="Strong"/>
          <w:b w:val="0"/>
        </w:rPr>
        <w:t xml:space="preserve"> charter</w:t>
      </w:r>
      <w:r w:rsidR="00821C0C">
        <w:rPr>
          <w:rStyle w:val="Strong"/>
          <w:b w:val="0"/>
        </w:rPr>
        <w:t xml:space="preserve">ed a vessel from </w:t>
      </w:r>
      <w:r w:rsidR="00810288">
        <w:rPr>
          <w:rStyle w:val="Strong"/>
          <w:b w:val="0"/>
        </w:rPr>
        <w:t xml:space="preserve">the </w:t>
      </w:r>
      <w:r w:rsidRPr="00821C0C">
        <w:rPr>
          <w:rStyle w:val="Strong"/>
          <w:b w:val="0"/>
        </w:rPr>
        <w:t>owners</w:t>
      </w:r>
      <w:r>
        <w:rPr>
          <w:rStyle w:val="Strong"/>
          <w:b w:val="0"/>
        </w:rPr>
        <w:t xml:space="preserve"> for the carriage of coal.  If </w:t>
      </w:r>
      <w:r w:rsidR="001036B1">
        <w:rPr>
          <w:rStyle w:val="Strong"/>
          <w:b w:val="0"/>
        </w:rPr>
        <w:t>charterers</w:t>
      </w:r>
      <w:r>
        <w:rPr>
          <w:rStyle w:val="Strong"/>
          <w:b w:val="0"/>
        </w:rPr>
        <w:t xml:space="preserve"> delayed in loading or unloading her, they </w:t>
      </w:r>
      <w:r w:rsidR="005D2149">
        <w:rPr>
          <w:rStyle w:val="Strong"/>
          <w:b w:val="0"/>
        </w:rPr>
        <w:t>had</w:t>
      </w:r>
      <w:r>
        <w:rPr>
          <w:rStyle w:val="Strong"/>
          <w:b w:val="0"/>
        </w:rPr>
        <w:t xml:space="preserve"> to pay demurrage limited to $1,000 a day.  </w:t>
      </w:r>
      <w:r w:rsidR="00810288">
        <w:rPr>
          <w:rStyle w:val="Strong"/>
          <w:b w:val="0"/>
        </w:rPr>
        <w:t>The o</w:t>
      </w:r>
      <w:r w:rsidR="001036B1">
        <w:rPr>
          <w:rStyle w:val="Strong"/>
          <w:b w:val="0"/>
        </w:rPr>
        <w:t xml:space="preserve">wners terminated the charterparty </w:t>
      </w:r>
      <w:r w:rsidR="00E46E79">
        <w:rPr>
          <w:rStyle w:val="Strong"/>
          <w:b w:val="0"/>
        </w:rPr>
        <w:t xml:space="preserve">in reliance on </w:t>
      </w:r>
      <w:r w:rsidR="001036B1">
        <w:rPr>
          <w:rStyle w:val="Strong"/>
          <w:b w:val="0"/>
        </w:rPr>
        <w:t xml:space="preserve">the charterers’ repudiatory </w:t>
      </w:r>
      <w:r w:rsidR="00E46E79">
        <w:rPr>
          <w:rStyle w:val="Strong"/>
          <w:b w:val="0"/>
        </w:rPr>
        <w:t>breach</w:t>
      </w:r>
      <w:r w:rsidR="00095842">
        <w:rPr>
          <w:rStyle w:val="Strong"/>
          <w:b w:val="0"/>
        </w:rPr>
        <w:t xml:space="preserve">, and argued that, since their breach of contract had been ‘fundamental’, the </w:t>
      </w:r>
      <w:r w:rsidR="00D4476A">
        <w:rPr>
          <w:rStyle w:val="Strong"/>
          <w:b w:val="0"/>
        </w:rPr>
        <w:t>charterers</w:t>
      </w:r>
      <w:r w:rsidR="00095842">
        <w:rPr>
          <w:rStyle w:val="Strong"/>
          <w:b w:val="0"/>
        </w:rPr>
        <w:t xml:space="preserve"> could not rely on the demurrage cl</w:t>
      </w:r>
      <w:r w:rsidR="00F157F0">
        <w:rPr>
          <w:rStyle w:val="Strong"/>
          <w:b w:val="0"/>
        </w:rPr>
        <w:t>ause to limit their liability.</w:t>
      </w:r>
    </w:p>
    <w:p w:rsidR="00A111A9" w:rsidRDefault="00F157F0" w:rsidP="00FE2A22">
      <w:pPr>
        <w:pStyle w:val="ListParagraph"/>
        <w:rPr>
          <w:rStyle w:val="Strong"/>
          <w:b w:val="0"/>
        </w:rPr>
      </w:pPr>
      <w:r>
        <w:rPr>
          <w:rStyle w:val="Strong"/>
          <w:b w:val="0"/>
        </w:rPr>
        <w:t>This was</w:t>
      </w:r>
      <w:r w:rsidR="00810288">
        <w:rPr>
          <w:rStyle w:val="Strong"/>
          <w:b w:val="0"/>
        </w:rPr>
        <w:t xml:space="preserve"> rejected by the House of Lords.  The court </w:t>
      </w:r>
      <w:r>
        <w:rPr>
          <w:rStyle w:val="Strong"/>
          <w:b w:val="0"/>
        </w:rPr>
        <w:t xml:space="preserve">held that </w:t>
      </w:r>
      <w:r w:rsidR="00DB363B">
        <w:rPr>
          <w:rStyle w:val="Strong"/>
          <w:b w:val="0"/>
        </w:rPr>
        <w:t xml:space="preserve">whether a ‘fundamental breach’ was covered by an </w:t>
      </w:r>
      <w:r>
        <w:rPr>
          <w:rStyle w:val="Strong"/>
          <w:b w:val="0"/>
        </w:rPr>
        <w:t xml:space="preserve">exclusion or limitation clause </w:t>
      </w:r>
      <w:r w:rsidR="00D4476A">
        <w:rPr>
          <w:rStyle w:val="Strong"/>
          <w:b w:val="0"/>
        </w:rPr>
        <w:t xml:space="preserve">was </w:t>
      </w:r>
      <w:r>
        <w:rPr>
          <w:rStyle w:val="Strong"/>
          <w:b w:val="0"/>
        </w:rPr>
        <w:t>a question of construction</w:t>
      </w:r>
      <w:r w:rsidR="00215D08">
        <w:rPr>
          <w:rStyle w:val="Strong"/>
          <w:b w:val="0"/>
        </w:rPr>
        <w:t>: there was no rule</w:t>
      </w:r>
      <w:r w:rsidR="00D4476A">
        <w:rPr>
          <w:rStyle w:val="Strong"/>
          <w:b w:val="0"/>
        </w:rPr>
        <w:t xml:space="preserve"> of law that liability for such a breach could not be excluded</w:t>
      </w:r>
      <w:r w:rsidR="00A111A9">
        <w:rPr>
          <w:rStyle w:val="Strong"/>
          <w:b w:val="0"/>
        </w:rPr>
        <w:t>.</w:t>
      </w:r>
    </w:p>
    <w:p w:rsidR="00374D2A" w:rsidRPr="007C21A6" w:rsidRDefault="0008258F" w:rsidP="007C21A6">
      <w:pPr>
        <w:pStyle w:val="ListParagraph"/>
        <w:rPr>
          <w:rStyle w:val="Strong"/>
          <w:b w:val="0"/>
        </w:rPr>
      </w:pPr>
      <w:r>
        <w:rPr>
          <w:rStyle w:val="Strong"/>
          <w:b w:val="0"/>
        </w:rPr>
        <w:t xml:space="preserve">It was </w:t>
      </w:r>
      <w:r w:rsidR="0065365C">
        <w:rPr>
          <w:rStyle w:val="Strong"/>
          <w:b w:val="0"/>
        </w:rPr>
        <w:t>in this context that members of the court made</w:t>
      </w:r>
      <w:r w:rsidR="00F157F0">
        <w:rPr>
          <w:rStyle w:val="Strong"/>
          <w:b w:val="0"/>
        </w:rPr>
        <w:t xml:space="preserve"> </w:t>
      </w:r>
      <w:r w:rsidR="0065365C">
        <w:rPr>
          <w:rStyle w:val="Strong"/>
          <w:b w:val="0"/>
        </w:rPr>
        <w:t xml:space="preserve">a </w:t>
      </w:r>
      <w:r w:rsidR="00F157F0">
        <w:rPr>
          <w:rStyle w:val="Strong"/>
          <w:b w:val="0"/>
        </w:rPr>
        <w:t xml:space="preserve">number of observations </w:t>
      </w:r>
      <w:r w:rsidR="007C21A6">
        <w:rPr>
          <w:rStyle w:val="Strong"/>
          <w:b w:val="0"/>
        </w:rPr>
        <w:t xml:space="preserve">on the repugnancy doctrine.  </w:t>
      </w:r>
      <w:r w:rsidR="00F157F0" w:rsidRPr="007C21A6">
        <w:rPr>
          <w:rStyle w:val="Strong"/>
          <w:b w:val="0"/>
        </w:rPr>
        <w:t>Perhaps the clearest statement is that of Lord Wilberforce</w:t>
      </w:r>
      <w:r w:rsidR="007C21A6">
        <w:rPr>
          <w:rStyle w:val="Strong"/>
          <w:b w:val="0"/>
        </w:rPr>
        <w:t>,</w:t>
      </w:r>
      <w:r w:rsidR="00F157F0" w:rsidRPr="007C21A6">
        <w:rPr>
          <w:rStyle w:val="Strong"/>
          <w:b w:val="0"/>
        </w:rPr>
        <w:t xml:space="preserve"> set out </w:t>
      </w:r>
      <w:r w:rsidR="007C21A6">
        <w:rPr>
          <w:rStyle w:val="Strong"/>
          <w:b w:val="0"/>
        </w:rPr>
        <w:t>above as the opening to this essay</w:t>
      </w:r>
      <w:r w:rsidR="00F157F0" w:rsidRPr="007C21A6">
        <w:rPr>
          <w:rStyle w:val="Strong"/>
          <w:b w:val="0"/>
        </w:rPr>
        <w:t xml:space="preserve">.  Lord Reid also </w:t>
      </w:r>
      <w:r w:rsidR="00F85E7A">
        <w:rPr>
          <w:rStyle w:val="Strong"/>
          <w:b w:val="0"/>
        </w:rPr>
        <w:t>touched on the doctrine, speaking</w:t>
      </w:r>
      <w:r w:rsidR="00F157F0" w:rsidRPr="007C21A6">
        <w:rPr>
          <w:rStyle w:val="Strong"/>
          <w:b w:val="0"/>
        </w:rPr>
        <w:t xml:space="preserve"> of an exclusion clause whose terms:</w:t>
      </w:r>
      <w:r w:rsidR="000D7DAC">
        <w:rPr>
          <w:rStyle w:val="FootnoteReference"/>
          <w:rFonts w:ascii="Times New Roman" w:hAnsi="Times New Roman" w:cs="Times New Roman"/>
          <w:bCs/>
          <w:sz w:val="24"/>
          <w:szCs w:val="24"/>
        </w:rPr>
        <w:footnoteReference w:id="3"/>
      </w:r>
      <w:r w:rsidR="00F157F0" w:rsidRPr="007C21A6">
        <w:rPr>
          <w:rStyle w:val="Strong"/>
          <w:b w:val="0"/>
        </w:rPr>
        <w:t xml:space="preserve"> </w:t>
      </w:r>
    </w:p>
    <w:p w:rsidR="00DD5CA5" w:rsidRDefault="00DD5CA5" w:rsidP="00F157F0">
      <w:pPr>
        <w:spacing w:before="120" w:after="120" w:line="360" w:lineRule="auto"/>
        <w:ind w:left="1134" w:right="521"/>
        <w:jc w:val="both"/>
        <w:rPr>
          <w:rStyle w:val="Strong"/>
          <w:b w:val="0"/>
        </w:rPr>
      </w:pPr>
      <w:r>
        <w:rPr>
          <w:rStyle w:val="Strong"/>
          <w:b w:val="0"/>
        </w:rPr>
        <w:t>‘</w:t>
      </w:r>
      <w:r w:rsidR="00F157F0">
        <w:rPr>
          <w:rStyle w:val="Strong"/>
          <w:b w:val="0"/>
        </w:rPr>
        <w:t>are so wide that the</w:t>
      </w:r>
      <w:r w:rsidR="0065365C">
        <w:rPr>
          <w:rStyle w:val="Strong"/>
          <w:b w:val="0"/>
        </w:rPr>
        <w:t xml:space="preserve">y cannot be applied literally: </w:t>
      </w:r>
      <w:r w:rsidR="00F157F0">
        <w:rPr>
          <w:rStyle w:val="Strong"/>
          <w:b w:val="0"/>
        </w:rPr>
        <w:t>that may be because this would lead to an absurdity or perhaps it would defeat the main object of the contract or perhaps for other reasons.</w:t>
      </w:r>
      <w:r>
        <w:rPr>
          <w:rStyle w:val="Strong"/>
          <w:b w:val="0"/>
        </w:rPr>
        <w:t>’</w:t>
      </w:r>
    </w:p>
    <w:p w:rsidR="003A03D7" w:rsidRDefault="00EA5C52" w:rsidP="003A03D7">
      <w:pPr>
        <w:pStyle w:val="ListParagraph"/>
        <w:rPr>
          <w:rStyle w:val="Strong"/>
          <w:b w:val="0"/>
        </w:rPr>
      </w:pPr>
      <w:r>
        <w:rPr>
          <w:rStyle w:val="Strong"/>
          <w:b w:val="0"/>
        </w:rPr>
        <w:t>The difficulty with</w:t>
      </w:r>
      <w:r w:rsidR="007168E7">
        <w:rPr>
          <w:rStyle w:val="Strong"/>
          <w:b w:val="0"/>
        </w:rPr>
        <w:t xml:space="preserve"> </w:t>
      </w:r>
      <w:r w:rsidR="00AA02B0">
        <w:rPr>
          <w:rStyle w:val="Strong"/>
          <w:b w:val="0"/>
        </w:rPr>
        <w:t>the</w:t>
      </w:r>
      <w:r w:rsidR="003A03D7">
        <w:rPr>
          <w:rStyle w:val="Strong"/>
          <w:b w:val="0"/>
        </w:rPr>
        <w:t>se</w:t>
      </w:r>
      <w:r w:rsidR="007168E7">
        <w:rPr>
          <w:rStyle w:val="Strong"/>
          <w:b w:val="0"/>
        </w:rPr>
        <w:t xml:space="preserve"> test</w:t>
      </w:r>
      <w:r w:rsidR="00AA02B0">
        <w:rPr>
          <w:rStyle w:val="Strong"/>
          <w:b w:val="0"/>
        </w:rPr>
        <w:t>s</w:t>
      </w:r>
      <w:r w:rsidR="007168E7">
        <w:rPr>
          <w:rStyle w:val="Strong"/>
          <w:b w:val="0"/>
        </w:rPr>
        <w:t xml:space="preserve"> </w:t>
      </w:r>
      <w:r w:rsidR="00AA02B0">
        <w:rPr>
          <w:rStyle w:val="Strong"/>
          <w:b w:val="0"/>
        </w:rPr>
        <w:t xml:space="preserve">are </w:t>
      </w:r>
      <w:r w:rsidR="003A03D7">
        <w:rPr>
          <w:rStyle w:val="Strong"/>
          <w:b w:val="0"/>
        </w:rPr>
        <w:t xml:space="preserve">twofold.  The first is that </w:t>
      </w:r>
      <w:r w:rsidR="0065365C">
        <w:rPr>
          <w:rStyle w:val="Strong"/>
          <w:b w:val="0"/>
        </w:rPr>
        <w:t>it is unclear whether they</w:t>
      </w:r>
      <w:r w:rsidR="00B76A53">
        <w:rPr>
          <w:rStyle w:val="Strong"/>
          <w:b w:val="0"/>
        </w:rPr>
        <w:t xml:space="preserve"> </w:t>
      </w:r>
      <w:r w:rsidR="0065365C">
        <w:rPr>
          <w:rStyle w:val="Strong"/>
          <w:b w:val="0"/>
        </w:rPr>
        <w:t>represent</w:t>
      </w:r>
      <w:r w:rsidR="00B76A53">
        <w:rPr>
          <w:rStyle w:val="Strong"/>
          <w:b w:val="0"/>
        </w:rPr>
        <w:t xml:space="preserve"> simply a principle of construction, or whether </w:t>
      </w:r>
      <w:r w:rsidR="00273BE0">
        <w:rPr>
          <w:rStyle w:val="Strong"/>
          <w:b w:val="0"/>
        </w:rPr>
        <w:t>they go</w:t>
      </w:r>
      <w:r w:rsidR="00B76A53">
        <w:rPr>
          <w:rStyle w:val="Strong"/>
          <w:b w:val="0"/>
        </w:rPr>
        <w:t xml:space="preserve"> further and </w:t>
      </w:r>
      <w:r w:rsidR="00273BE0">
        <w:rPr>
          <w:rStyle w:val="Strong"/>
          <w:b w:val="0"/>
        </w:rPr>
        <w:t xml:space="preserve">are </w:t>
      </w:r>
      <w:r w:rsidR="00B76A53">
        <w:rPr>
          <w:rStyle w:val="Strong"/>
          <w:b w:val="0"/>
        </w:rPr>
        <w:t xml:space="preserve">a rule of </w:t>
      </w:r>
      <w:r w:rsidR="00B76A53">
        <w:rPr>
          <w:rStyle w:val="Strong"/>
          <w:b w:val="0"/>
        </w:rPr>
        <w:lastRenderedPageBreak/>
        <w:t>law.  While the extract from Lord Wilberforce’s speech set out above refers to what the parties ‘cannot…have contemplated’ – indicating a principle of construction – his very next sentence is:</w:t>
      </w:r>
      <w:r w:rsidR="00B76A53">
        <w:rPr>
          <w:rStyle w:val="FootnoteReference"/>
          <w:rFonts w:ascii="Times New Roman" w:hAnsi="Times New Roman" w:cs="Times New Roman"/>
          <w:bCs/>
          <w:sz w:val="24"/>
          <w:szCs w:val="24"/>
        </w:rPr>
        <w:footnoteReference w:id="4"/>
      </w:r>
    </w:p>
    <w:p w:rsidR="003A03D7" w:rsidRDefault="00B76A53" w:rsidP="00B76A53">
      <w:pPr>
        <w:spacing w:before="120" w:after="120" w:line="360" w:lineRule="auto"/>
        <w:ind w:left="1134" w:right="521"/>
        <w:jc w:val="both"/>
        <w:rPr>
          <w:rStyle w:val="Strong"/>
          <w:b w:val="0"/>
        </w:rPr>
      </w:pPr>
      <w:r>
        <w:rPr>
          <w:rStyle w:val="Strong"/>
          <w:b w:val="0"/>
        </w:rPr>
        <w:t xml:space="preserve">‘To this extent it may be correct to say that there is a </w:t>
      </w:r>
      <w:r>
        <w:rPr>
          <w:rStyle w:val="Strong"/>
          <w:b w:val="0"/>
          <w:u w:val="single"/>
        </w:rPr>
        <w:t>rule of law</w:t>
      </w:r>
      <w:r>
        <w:rPr>
          <w:rStyle w:val="Strong"/>
          <w:b w:val="0"/>
        </w:rPr>
        <w:t xml:space="preserve"> against the application of an exceptions clause to a particular type of breach.’</w:t>
      </w:r>
    </w:p>
    <w:p w:rsidR="00B76A53" w:rsidRPr="00B76A53" w:rsidRDefault="00B76A53" w:rsidP="00B76A53">
      <w:pPr>
        <w:spacing w:before="120" w:after="120" w:line="360" w:lineRule="auto"/>
        <w:ind w:left="1134" w:right="521"/>
        <w:jc w:val="both"/>
        <w:rPr>
          <w:rStyle w:val="Strong"/>
          <w:b w:val="0"/>
        </w:rPr>
      </w:pPr>
      <w:r>
        <w:rPr>
          <w:rStyle w:val="Strong"/>
          <w:b w:val="0"/>
        </w:rPr>
        <w:t>(Emphasis added)</w:t>
      </w:r>
    </w:p>
    <w:p w:rsidR="00B76A53" w:rsidRDefault="00B76A53" w:rsidP="00FE2A22">
      <w:pPr>
        <w:pStyle w:val="ListParagraph"/>
        <w:rPr>
          <w:rStyle w:val="Strong"/>
          <w:b w:val="0"/>
        </w:rPr>
      </w:pPr>
      <w:r>
        <w:rPr>
          <w:rStyle w:val="Strong"/>
          <w:b w:val="0"/>
        </w:rPr>
        <w:t>Thus, it is not clear whether we are left with a</w:t>
      </w:r>
      <w:r w:rsidR="00730CC0">
        <w:rPr>
          <w:rStyle w:val="Strong"/>
          <w:b w:val="0"/>
        </w:rPr>
        <w:t xml:space="preserve"> hard-edged rule</w:t>
      </w:r>
      <w:r>
        <w:rPr>
          <w:rStyle w:val="Strong"/>
          <w:b w:val="0"/>
        </w:rPr>
        <w:t xml:space="preserve"> or simply a guiding principle.</w:t>
      </w:r>
    </w:p>
    <w:p w:rsidR="00B11D10" w:rsidRDefault="003A03D7" w:rsidP="00FE2A22">
      <w:pPr>
        <w:pStyle w:val="ListParagraph"/>
        <w:rPr>
          <w:rStyle w:val="Strong"/>
          <w:b w:val="0"/>
        </w:rPr>
      </w:pPr>
      <w:r>
        <w:rPr>
          <w:rStyle w:val="Strong"/>
          <w:b w:val="0"/>
        </w:rPr>
        <w:t xml:space="preserve">The second </w:t>
      </w:r>
      <w:r w:rsidR="00D75B1F">
        <w:rPr>
          <w:rStyle w:val="Strong"/>
          <w:b w:val="0"/>
        </w:rPr>
        <w:t xml:space="preserve">problem with the tests </w:t>
      </w:r>
      <w:r>
        <w:rPr>
          <w:rStyle w:val="Strong"/>
          <w:b w:val="0"/>
        </w:rPr>
        <w:t xml:space="preserve">is </w:t>
      </w:r>
      <w:r w:rsidR="007168E7">
        <w:rPr>
          <w:rStyle w:val="Strong"/>
          <w:b w:val="0"/>
        </w:rPr>
        <w:t xml:space="preserve">that </w:t>
      </w:r>
      <w:r w:rsidR="00AA02B0">
        <w:rPr>
          <w:rStyle w:val="Strong"/>
          <w:b w:val="0"/>
        </w:rPr>
        <w:t xml:space="preserve">they </w:t>
      </w:r>
      <w:r w:rsidR="006D023A">
        <w:rPr>
          <w:rStyle w:val="Strong"/>
          <w:b w:val="0"/>
        </w:rPr>
        <w:t xml:space="preserve">are </w:t>
      </w:r>
      <w:r w:rsidR="007168E7">
        <w:rPr>
          <w:rStyle w:val="Strong"/>
          <w:b w:val="0"/>
        </w:rPr>
        <w:t>inexact and, it is submitted, inherently contradictory</w:t>
      </w:r>
      <w:r w:rsidR="00EA5C52">
        <w:rPr>
          <w:rStyle w:val="Strong"/>
          <w:b w:val="0"/>
        </w:rPr>
        <w:t>.</w:t>
      </w:r>
      <w:r w:rsidR="000C3178">
        <w:rPr>
          <w:rStyle w:val="Strong"/>
          <w:b w:val="0"/>
        </w:rPr>
        <w:t xml:space="preserve">  A contract is a ‘mere declaration of intent’ only if there are </w:t>
      </w:r>
      <w:r w:rsidR="000C3178">
        <w:rPr>
          <w:rStyle w:val="Strong"/>
          <w:b w:val="0"/>
          <w:i/>
        </w:rPr>
        <w:t>no</w:t>
      </w:r>
      <w:r w:rsidR="000C3178">
        <w:rPr>
          <w:rStyle w:val="Strong"/>
          <w:b w:val="0"/>
        </w:rPr>
        <w:t xml:space="preserve"> enforceable obligations.  </w:t>
      </w:r>
      <w:r w:rsidR="007C2A8A">
        <w:rPr>
          <w:rStyle w:val="Strong"/>
          <w:b w:val="0"/>
        </w:rPr>
        <w:t>Lord Wilberforce</w:t>
      </w:r>
      <w:r w:rsidR="000C3178">
        <w:rPr>
          <w:rStyle w:val="Strong"/>
          <w:b w:val="0"/>
        </w:rPr>
        <w:t xml:space="preserve"> sugges</w:t>
      </w:r>
      <w:r w:rsidR="007C2A8A">
        <w:rPr>
          <w:rStyle w:val="Strong"/>
          <w:b w:val="0"/>
        </w:rPr>
        <w:t>ts</w:t>
      </w:r>
      <w:r w:rsidR="000C3178">
        <w:rPr>
          <w:rStyle w:val="Strong"/>
          <w:b w:val="0"/>
        </w:rPr>
        <w:t xml:space="preserve"> that it is enough for </w:t>
      </w:r>
      <w:r w:rsidR="00366364">
        <w:rPr>
          <w:rStyle w:val="Strong"/>
          <w:b w:val="0"/>
        </w:rPr>
        <w:t xml:space="preserve">a clause </w:t>
      </w:r>
      <w:r w:rsidR="00EA5C52">
        <w:rPr>
          <w:rStyle w:val="Strong"/>
          <w:b w:val="0"/>
        </w:rPr>
        <w:t>‘</w:t>
      </w:r>
      <w:r w:rsidR="00EA5C52" w:rsidRPr="007C2A8A">
        <w:rPr>
          <w:rStyle w:val="Strong"/>
          <w:b w:val="0"/>
          <w:u w:val="single"/>
        </w:rPr>
        <w:t>in effect</w:t>
      </w:r>
      <w:r w:rsidR="00366364">
        <w:rPr>
          <w:rStyle w:val="Strong"/>
          <w:b w:val="0"/>
        </w:rPr>
        <w:t xml:space="preserve"> </w:t>
      </w:r>
      <w:r w:rsidR="000C3178">
        <w:rPr>
          <w:rStyle w:val="Strong"/>
          <w:b w:val="0"/>
        </w:rPr>
        <w:t xml:space="preserve">to </w:t>
      </w:r>
      <w:r w:rsidR="00366364">
        <w:rPr>
          <w:rStyle w:val="Strong"/>
          <w:b w:val="0"/>
        </w:rPr>
        <w:t xml:space="preserve">deprive </w:t>
      </w:r>
      <w:r w:rsidR="007C2A8A" w:rsidRPr="00FE2A22">
        <w:rPr>
          <w:rStyle w:val="Strong"/>
          <w:b w:val="0"/>
        </w:rPr>
        <w:t>one party’s stipulations of all contractual force</w:t>
      </w:r>
      <w:r w:rsidR="007C2A8A">
        <w:rPr>
          <w:rStyle w:val="Strong"/>
          <w:b w:val="0"/>
        </w:rPr>
        <w:t>’</w:t>
      </w:r>
      <w:r w:rsidR="000C3178">
        <w:rPr>
          <w:rStyle w:val="Strong"/>
          <w:b w:val="0"/>
        </w:rPr>
        <w:t xml:space="preserve">.  </w:t>
      </w:r>
      <w:r w:rsidR="009E6F2E">
        <w:rPr>
          <w:rStyle w:val="Strong"/>
          <w:b w:val="0"/>
        </w:rPr>
        <w:t xml:space="preserve">The limits of this are very uncertain.  </w:t>
      </w:r>
      <w:r w:rsidR="000C3178">
        <w:rPr>
          <w:rStyle w:val="Strong"/>
          <w:b w:val="0"/>
        </w:rPr>
        <w:t>What if a clause excludes a party’s liability for failing to perform his obligations save for when his decision to do is entirely arbitrary?</w:t>
      </w:r>
      <w:r w:rsidR="00544698">
        <w:rPr>
          <w:rStyle w:val="Strong"/>
          <w:b w:val="0"/>
        </w:rPr>
        <w:t xml:space="preserve">  It could be argued that such a clause</w:t>
      </w:r>
      <w:r w:rsidR="000C3178">
        <w:rPr>
          <w:rStyle w:val="Strong"/>
          <w:b w:val="0"/>
        </w:rPr>
        <w:t xml:space="preserve"> does ‘</w:t>
      </w:r>
      <w:r w:rsidR="000C3178" w:rsidRPr="00544698">
        <w:rPr>
          <w:rStyle w:val="Strong"/>
          <w:b w:val="0"/>
          <w:u w:val="single"/>
        </w:rPr>
        <w:t>in effect</w:t>
      </w:r>
      <w:r w:rsidR="000C3178">
        <w:rPr>
          <w:rStyle w:val="Strong"/>
          <w:b w:val="0"/>
        </w:rPr>
        <w:t xml:space="preserve">’ nullify his obligations, but the contract </w:t>
      </w:r>
      <w:r w:rsidR="00C267CA">
        <w:rPr>
          <w:rStyle w:val="Strong"/>
          <w:b w:val="0"/>
        </w:rPr>
        <w:t>remains</w:t>
      </w:r>
      <w:r w:rsidR="000C3178">
        <w:rPr>
          <w:rStyle w:val="Strong"/>
          <w:b w:val="0"/>
          <w:i/>
        </w:rPr>
        <w:t xml:space="preserve"> </w:t>
      </w:r>
      <w:r w:rsidR="000C3178">
        <w:rPr>
          <w:rStyle w:val="Strong"/>
          <w:b w:val="0"/>
        </w:rPr>
        <w:t xml:space="preserve">more than a </w:t>
      </w:r>
      <w:r w:rsidR="00F716C7">
        <w:rPr>
          <w:rStyle w:val="Strong"/>
          <w:b w:val="0"/>
        </w:rPr>
        <w:t xml:space="preserve">more </w:t>
      </w:r>
      <w:r w:rsidR="000C3178">
        <w:rPr>
          <w:rStyle w:val="Strong"/>
          <w:b w:val="0"/>
        </w:rPr>
        <w:t>declaration of intent.</w:t>
      </w:r>
    </w:p>
    <w:p w:rsidR="002A7A9E" w:rsidRDefault="00F716C7" w:rsidP="00FE2A22">
      <w:pPr>
        <w:pStyle w:val="ListParagraph"/>
        <w:rPr>
          <w:rStyle w:val="Strong"/>
          <w:b w:val="0"/>
        </w:rPr>
      </w:pPr>
      <w:r>
        <w:rPr>
          <w:rStyle w:val="Strong"/>
          <w:b w:val="0"/>
        </w:rPr>
        <w:t>In short, t</w:t>
      </w:r>
      <w:r w:rsidR="002A7A9E">
        <w:rPr>
          <w:rStyle w:val="Strong"/>
          <w:b w:val="0"/>
        </w:rPr>
        <w:t>he doctrine was off to an inauspicious start.</w:t>
      </w:r>
    </w:p>
    <w:p w:rsidR="00374D2A" w:rsidRDefault="007B0930" w:rsidP="00FE2A22">
      <w:pPr>
        <w:pStyle w:val="ListParagraph"/>
        <w:rPr>
          <w:rStyle w:val="Strong"/>
          <w:b w:val="0"/>
        </w:rPr>
      </w:pPr>
      <w:r>
        <w:rPr>
          <w:rStyle w:val="Strong"/>
          <w:b w:val="0"/>
        </w:rPr>
        <w:t>Th</w:t>
      </w:r>
      <w:r w:rsidR="00614A30">
        <w:rPr>
          <w:rStyle w:val="Strong"/>
          <w:b w:val="0"/>
        </w:rPr>
        <w:t xml:space="preserve">e House of Lords revisited the question </w:t>
      </w:r>
      <w:r>
        <w:rPr>
          <w:rStyle w:val="Strong"/>
          <w:b w:val="0"/>
        </w:rPr>
        <w:t>in</w:t>
      </w:r>
      <w:r w:rsidR="00E362FC">
        <w:rPr>
          <w:rStyle w:val="Strong"/>
          <w:b w:val="0"/>
        </w:rPr>
        <w:t xml:space="preserve"> another shipping case,</w:t>
      </w:r>
      <w:r>
        <w:rPr>
          <w:rStyle w:val="Strong"/>
          <w:b w:val="0"/>
        </w:rPr>
        <w:t xml:space="preserve"> </w:t>
      </w:r>
      <w:r>
        <w:rPr>
          <w:rStyle w:val="Strong"/>
          <w:b w:val="0"/>
          <w:i/>
        </w:rPr>
        <w:t>Tor Line v Alltrans Ltd</w:t>
      </w:r>
      <w:r w:rsidR="00E412F3">
        <w:rPr>
          <w:rStyle w:val="Strong"/>
          <w:b w:val="0"/>
          <w:i/>
        </w:rPr>
        <w:t xml:space="preserve"> (‘The TFL Prosperity’)</w:t>
      </w:r>
      <w:r>
        <w:rPr>
          <w:rStyle w:val="Strong"/>
          <w:b w:val="0"/>
        </w:rPr>
        <w:t>.</w:t>
      </w:r>
      <w:r w:rsidR="000D7DAC">
        <w:rPr>
          <w:rStyle w:val="FootnoteReference"/>
          <w:rFonts w:ascii="Times New Roman" w:hAnsi="Times New Roman" w:cs="Times New Roman"/>
          <w:bCs/>
          <w:sz w:val="24"/>
          <w:szCs w:val="24"/>
        </w:rPr>
        <w:footnoteReference w:id="5"/>
      </w:r>
      <w:r>
        <w:rPr>
          <w:rStyle w:val="Strong"/>
          <w:b w:val="0"/>
        </w:rPr>
        <w:t xml:space="preserve">  </w:t>
      </w:r>
      <w:r w:rsidR="00E362FC">
        <w:rPr>
          <w:rStyle w:val="Strong"/>
          <w:b w:val="0"/>
        </w:rPr>
        <w:t>The c</w:t>
      </w:r>
      <w:r w:rsidR="001670C6">
        <w:rPr>
          <w:rStyle w:val="Strong"/>
          <w:b w:val="0"/>
        </w:rPr>
        <w:t xml:space="preserve">harterers sued the owners for breach of a warranty as to the height of the main deck of </w:t>
      </w:r>
      <w:r w:rsidR="00FA6D78">
        <w:rPr>
          <w:rStyle w:val="Strong"/>
          <w:b w:val="0"/>
        </w:rPr>
        <w:t>a</w:t>
      </w:r>
      <w:r w:rsidR="001670C6">
        <w:rPr>
          <w:rStyle w:val="Strong"/>
          <w:b w:val="0"/>
        </w:rPr>
        <w:t xml:space="preserve"> ship</w:t>
      </w:r>
      <w:r w:rsidR="00000DCD">
        <w:rPr>
          <w:rStyle w:val="Strong"/>
          <w:b w:val="0"/>
        </w:rPr>
        <w:t>, and claimed damages for loss of freight and for delay</w:t>
      </w:r>
      <w:r w:rsidR="001670C6">
        <w:rPr>
          <w:rStyle w:val="Strong"/>
          <w:b w:val="0"/>
        </w:rPr>
        <w:t xml:space="preserve">.  The owners </w:t>
      </w:r>
      <w:r w:rsidR="00000DCD">
        <w:rPr>
          <w:rStyle w:val="Strong"/>
          <w:b w:val="0"/>
        </w:rPr>
        <w:t xml:space="preserve">sought to rely on </w:t>
      </w:r>
      <w:r w:rsidR="002848C6">
        <w:rPr>
          <w:rStyle w:val="Strong"/>
          <w:b w:val="0"/>
        </w:rPr>
        <w:t>a standard form</w:t>
      </w:r>
      <w:r>
        <w:rPr>
          <w:rStyle w:val="Strong"/>
          <w:b w:val="0"/>
        </w:rPr>
        <w:t xml:space="preserve"> exclusion clause</w:t>
      </w:r>
      <w:r w:rsidR="00000DCD">
        <w:rPr>
          <w:rStyle w:val="Strong"/>
          <w:b w:val="0"/>
        </w:rPr>
        <w:t>, which provided that they would ‘only’ be liable in certain cases of delay or of loss or damage, and were:</w:t>
      </w:r>
      <w:r>
        <w:rPr>
          <w:rStyle w:val="Strong"/>
          <w:b w:val="0"/>
        </w:rPr>
        <w:t xml:space="preserve"> </w:t>
      </w:r>
    </w:p>
    <w:p w:rsidR="00374D2A" w:rsidRDefault="00000DCD" w:rsidP="00000DCD">
      <w:pPr>
        <w:spacing w:before="120" w:after="120" w:line="360" w:lineRule="auto"/>
        <w:ind w:left="1134" w:right="521"/>
        <w:jc w:val="both"/>
        <w:rPr>
          <w:rStyle w:val="Strong"/>
          <w:b w:val="0"/>
        </w:rPr>
      </w:pPr>
      <w:r>
        <w:rPr>
          <w:rStyle w:val="Strong"/>
          <w:b w:val="0"/>
        </w:rPr>
        <w:t xml:space="preserve">‘not to be responsible in any other case nor for damage or delay whatsoever and howsoever caused even if caused by the neglect or default of their servants’. </w:t>
      </w:r>
    </w:p>
    <w:p w:rsidR="00000DCD" w:rsidRDefault="00000DCD" w:rsidP="00FE2A22">
      <w:pPr>
        <w:pStyle w:val="ListParagraph"/>
        <w:rPr>
          <w:rStyle w:val="Strong"/>
          <w:b w:val="0"/>
        </w:rPr>
      </w:pPr>
      <w:r>
        <w:rPr>
          <w:rStyle w:val="Strong"/>
          <w:b w:val="0"/>
        </w:rPr>
        <w:t xml:space="preserve">It was argued that this clause really meant what it said: that the owners would not be liable </w:t>
      </w:r>
      <w:r w:rsidR="002B64B6">
        <w:rPr>
          <w:rStyle w:val="Strong"/>
          <w:b w:val="0"/>
        </w:rPr>
        <w:t xml:space="preserve">in any </w:t>
      </w:r>
      <w:r w:rsidR="004D4E5C">
        <w:rPr>
          <w:rStyle w:val="Strong"/>
          <w:b w:val="0"/>
        </w:rPr>
        <w:t>case</w:t>
      </w:r>
      <w:r w:rsidR="00986213">
        <w:rPr>
          <w:rStyle w:val="Strong"/>
          <w:b w:val="0"/>
        </w:rPr>
        <w:t xml:space="preserve"> other than those specified (i.e. </w:t>
      </w:r>
      <w:r w:rsidR="00FA6D78">
        <w:rPr>
          <w:rStyle w:val="Strong"/>
          <w:b w:val="0"/>
        </w:rPr>
        <w:t xml:space="preserve">in certain cases of </w:t>
      </w:r>
      <w:r w:rsidR="00986213">
        <w:rPr>
          <w:rStyle w:val="Strong"/>
          <w:b w:val="0"/>
        </w:rPr>
        <w:t>delay or loss or damage)</w:t>
      </w:r>
      <w:r>
        <w:rPr>
          <w:rStyle w:val="Strong"/>
          <w:b w:val="0"/>
        </w:rPr>
        <w:t xml:space="preserve">, including </w:t>
      </w:r>
      <w:r w:rsidR="000352F3">
        <w:rPr>
          <w:rStyle w:val="Strong"/>
          <w:b w:val="0"/>
        </w:rPr>
        <w:t xml:space="preserve">for </w:t>
      </w:r>
      <w:r>
        <w:rPr>
          <w:rStyle w:val="Strong"/>
          <w:b w:val="0"/>
        </w:rPr>
        <w:t>breach of</w:t>
      </w:r>
      <w:r w:rsidR="00143E88">
        <w:rPr>
          <w:rStyle w:val="Strong"/>
          <w:b w:val="0"/>
        </w:rPr>
        <w:t xml:space="preserve"> express</w:t>
      </w:r>
      <w:r>
        <w:rPr>
          <w:rStyle w:val="Strong"/>
          <w:b w:val="0"/>
        </w:rPr>
        <w:t xml:space="preserve"> warrant</w:t>
      </w:r>
      <w:r w:rsidR="00143E88">
        <w:rPr>
          <w:rStyle w:val="Strong"/>
          <w:b w:val="0"/>
        </w:rPr>
        <w:t>ies</w:t>
      </w:r>
      <w:r>
        <w:rPr>
          <w:rStyle w:val="Strong"/>
          <w:b w:val="0"/>
        </w:rPr>
        <w:t>.</w:t>
      </w:r>
      <w:r w:rsidR="004D4E5C">
        <w:rPr>
          <w:rStyle w:val="Strong"/>
          <w:b w:val="0"/>
        </w:rPr>
        <w:t xml:space="preserve">  Lord Roskill rejected t</w:t>
      </w:r>
      <w:r w:rsidR="00B624BC">
        <w:rPr>
          <w:rStyle w:val="Strong"/>
          <w:b w:val="0"/>
        </w:rPr>
        <w:t>his argument, concluding</w:t>
      </w:r>
      <w:r w:rsidR="004D4E5C">
        <w:rPr>
          <w:rStyle w:val="Strong"/>
          <w:b w:val="0"/>
        </w:rPr>
        <w:t xml:space="preserve"> that ‘the charter </w:t>
      </w:r>
      <w:r w:rsidR="004D4E5C" w:rsidRPr="00B624BC">
        <w:rPr>
          <w:rStyle w:val="Strong"/>
          <w:b w:val="0"/>
          <w:u w:val="single"/>
        </w:rPr>
        <w:t>virtually ceases to be a contract</w:t>
      </w:r>
      <w:r w:rsidR="004D4E5C">
        <w:rPr>
          <w:rStyle w:val="Strong"/>
          <w:b w:val="0"/>
        </w:rPr>
        <w:t xml:space="preserve"> for the letting of </w:t>
      </w:r>
      <w:r w:rsidR="004D4E5C">
        <w:rPr>
          <w:rStyle w:val="Strong"/>
          <w:b w:val="0"/>
        </w:rPr>
        <w:lastRenderedPageBreak/>
        <w:t>the vessel and the performa</w:t>
      </w:r>
      <w:r w:rsidR="00E40937">
        <w:rPr>
          <w:rStyle w:val="Strong"/>
          <w:b w:val="0"/>
        </w:rPr>
        <w:t>nce of services’ by the owners.</w:t>
      </w:r>
      <w:r w:rsidR="00BF5B66">
        <w:rPr>
          <w:rStyle w:val="FootnoteReference"/>
          <w:rFonts w:ascii="Times New Roman" w:hAnsi="Times New Roman" w:cs="Times New Roman"/>
          <w:bCs/>
          <w:sz w:val="24"/>
          <w:szCs w:val="24"/>
        </w:rPr>
        <w:footnoteReference w:id="6"/>
      </w:r>
      <w:r w:rsidR="00E40937">
        <w:rPr>
          <w:rStyle w:val="Strong"/>
          <w:b w:val="0"/>
        </w:rPr>
        <w:t xml:space="preserve">  I</w:t>
      </w:r>
      <w:r w:rsidR="004D4E5C">
        <w:rPr>
          <w:rStyle w:val="Strong"/>
          <w:b w:val="0"/>
        </w:rPr>
        <w:t>nstead</w:t>
      </w:r>
      <w:r w:rsidR="00E40937">
        <w:rPr>
          <w:rStyle w:val="Strong"/>
          <w:b w:val="0"/>
        </w:rPr>
        <w:t>, Lord Roskill argued, the contract</w:t>
      </w:r>
      <w:r w:rsidR="004D4E5C">
        <w:rPr>
          <w:rStyle w:val="Strong"/>
          <w:b w:val="0"/>
        </w:rPr>
        <w:t xml:space="preserve"> </w:t>
      </w:r>
      <w:r w:rsidR="0093502D">
        <w:rPr>
          <w:rStyle w:val="Strong"/>
          <w:b w:val="0"/>
        </w:rPr>
        <w:t>would become</w:t>
      </w:r>
      <w:r w:rsidR="004D4E5C">
        <w:rPr>
          <w:rStyle w:val="Strong"/>
          <w:b w:val="0"/>
        </w:rPr>
        <w:t xml:space="preserve"> no more than ‘a statement of intent’</w:t>
      </w:r>
      <w:r w:rsidR="009932D5">
        <w:rPr>
          <w:rStyle w:val="Strong"/>
          <w:b w:val="0"/>
        </w:rPr>
        <w:t xml:space="preserve"> by the owners</w:t>
      </w:r>
      <w:r w:rsidR="004D4E5C">
        <w:rPr>
          <w:rStyle w:val="Strong"/>
          <w:b w:val="0"/>
        </w:rPr>
        <w:t xml:space="preserve"> in exchange for </w:t>
      </w:r>
      <w:r w:rsidR="009932D5">
        <w:rPr>
          <w:rStyle w:val="Strong"/>
          <w:b w:val="0"/>
        </w:rPr>
        <w:t xml:space="preserve">the payment of </w:t>
      </w:r>
      <w:r w:rsidR="004D4E5C">
        <w:rPr>
          <w:rStyle w:val="Strong"/>
          <w:b w:val="0"/>
        </w:rPr>
        <w:t>hire.</w:t>
      </w:r>
      <w:r w:rsidR="001E2CF1">
        <w:rPr>
          <w:rStyle w:val="FootnoteReference"/>
          <w:rFonts w:ascii="Times New Roman" w:hAnsi="Times New Roman" w:cs="Times New Roman"/>
          <w:bCs/>
          <w:sz w:val="24"/>
          <w:szCs w:val="24"/>
        </w:rPr>
        <w:footnoteReference w:id="7"/>
      </w:r>
    </w:p>
    <w:p w:rsidR="00176FDF" w:rsidRDefault="009932D5" w:rsidP="00E01EE1">
      <w:pPr>
        <w:pStyle w:val="ListParagraph"/>
        <w:rPr>
          <w:rStyle w:val="Strong"/>
          <w:b w:val="0"/>
        </w:rPr>
      </w:pPr>
      <w:r>
        <w:rPr>
          <w:rStyle w:val="Strong"/>
          <w:b w:val="0"/>
        </w:rPr>
        <w:t>The difficulty with this reasoning is</w:t>
      </w:r>
      <w:r w:rsidR="00321AAF">
        <w:rPr>
          <w:rStyle w:val="Strong"/>
          <w:b w:val="0"/>
        </w:rPr>
        <w:t xml:space="preserve"> that it is, </w:t>
      </w:r>
      <w:r w:rsidR="005E22EF">
        <w:rPr>
          <w:rStyle w:val="Strong"/>
          <w:b w:val="0"/>
        </w:rPr>
        <w:t>regrettably</w:t>
      </w:r>
      <w:r w:rsidR="00321AAF">
        <w:rPr>
          <w:rStyle w:val="Strong"/>
          <w:b w:val="0"/>
        </w:rPr>
        <w:t>, not true.  The o</w:t>
      </w:r>
      <w:r>
        <w:rPr>
          <w:rStyle w:val="Strong"/>
          <w:b w:val="0"/>
        </w:rPr>
        <w:t xml:space="preserve">wners </w:t>
      </w:r>
      <w:r>
        <w:rPr>
          <w:rStyle w:val="Strong"/>
          <w:b w:val="0"/>
          <w:i/>
        </w:rPr>
        <w:t>did</w:t>
      </w:r>
      <w:r>
        <w:rPr>
          <w:rStyle w:val="Strong"/>
          <w:b w:val="0"/>
        </w:rPr>
        <w:t xml:space="preserve"> agree</w:t>
      </w:r>
      <w:r w:rsidR="00273B67">
        <w:rPr>
          <w:rStyle w:val="Strong"/>
          <w:b w:val="0"/>
        </w:rPr>
        <w:t xml:space="preserve"> to </w:t>
      </w:r>
      <w:r w:rsidR="006970F3">
        <w:rPr>
          <w:rStyle w:val="Strong"/>
          <w:b w:val="0"/>
        </w:rPr>
        <w:t>be liable for a</w:t>
      </w:r>
      <w:r w:rsidR="00706432">
        <w:rPr>
          <w:rStyle w:val="Strong"/>
          <w:b w:val="0"/>
        </w:rPr>
        <w:t xml:space="preserve"> number of breaches:</w:t>
      </w:r>
      <w:r w:rsidR="006970F3">
        <w:rPr>
          <w:rStyle w:val="Strong"/>
          <w:b w:val="0"/>
        </w:rPr>
        <w:t xml:space="preserve"> </w:t>
      </w:r>
      <w:r w:rsidR="00E01EE1">
        <w:rPr>
          <w:rStyle w:val="Strong"/>
          <w:b w:val="0"/>
        </w:rPr>
        <w:t xml:space="preserve">for example, for a </w:t>
      </w:r>
      <w:r>
        <w:rPr>
          <w:rStyle w:val="Strong"/>
          <w:b w:val="0"/>
        </w:rPr>
        <w:t xml:space="preserve">delay in delivery of the </w:t>
      </w:r>
      <w:r w:rsidR="000806A6">
        <w:rPr>
          <w:rStyle w:val="Strong"/>
          <w:b w:val="0"/>
        </w:rPr>
        <w:t xml:space="preserve">vessel </w:t>
      </w:r>
      <w:r>
        <w:rPr>
          <w:rStyle w:val="Strong"/>
          <w:b w:val="0"/>
        </w:rPr>
        <w:t xml:space="preserve">caused by </w:t>
      </w:r>
      <w:r w:rsidR="00273B67">
        <w:rPr>
          <w:rStyle w:val="Strong"/>
          <w:b w:val="0"/>
        </w:rPr>
        <w:t xml:space="preserve">their lack </w:t>
      </w:r>
      <w:r>
        <w:rPr>
          <w:rStyle w:val="Strong"/>
          <w:b w:val="0"/>
        </w:rPr>
        <w:t>of due diligence</w:t>
      </w:r>
      <w:r w:rsidR="00273B67">
        <w:rPr>
          <w:rStyle w:val="Strong"/>
          <w:b w:val="0"/>
        </w:rPr>
        <w:t xml:space="preserve"> in making the ship seaworthy.  They had not merely declared their intent to</w:t>
      </w:r>
      <w:r w:rsidR="00B2696E">
        <w:rPr>
          <w:rStyle w:val="Strong"/>
          <w:b w:val="0"/>
        </w:rPr>
        <w:t xml:space="preserve"> use due diligence</w:t>
      </w:r>
      <w:r w:rsidR="00DC4672">
        <w:rPr>
          <w:rStyle w:val="Strong"/>
          <w:b w:val="0"/>
        </w:rPr>
        <w:t xml:space="preserve"> in such a situation</w:t>
      </w:r>
      <w:r w:rsidR="00273B67">
        <w:rPr>
          <w:rStyle w:val="Strong"/>
          <w:b w:val="0"/>
        </w:rPr>
        <w:t>: they were contractually</w:t>
      </w:r>
      <w:r w:rsidR="00B2696E">
        <w:rPr>
          <w:rStyle w:val="Strong"/>
          <w:b w:val="0"/>
        </w:rPr>
        <w:t xml:space="preserve"> liable for failing to do so</w:t>
      </w:r>
      <w:r w:rsidR="00273B67">
        <w:rPr>
          <w:rStyle w:val="Strong"/>
          <w:b w:val="0"/>
        </w:rPr>
        <w:t>.</w:t>
      </w:r>
    </w:p>
    <w:p w:rsidR="00273B67" w:rsidRPr="00E01EE1" w:rsidRDefault="001F63E3" w:rsidP="00E01EE1">
      <w:pPr>
        <w:pStyle w:val="ListParagraph"/>
        <w:rPr>
          <w:rStyle w:val="Strong"/>
          <w:b w:val="0"/>
        </w:rPr>
      </w:pPr>
      <w:r>
        <w:rPr>
          <w:rStyle w:val="Strong"/>
          <w:b w:val="0"/>
        </w:rPr>
        <w:t xml:space="preserve">The uncertainty surrounding the doctrine </w:t>
      </w:r>
      <w:r w:rsidR="00176FDF">
        <w:rPr>
          <w:rStyle w:val="Strong"/>
          <w:b w:val="0"/>
        </w:rPr>
        <w:t xml:space="preserve">therefore </w:t>
      </w:r>
      <w:r>
        <w:rPr>
          <w:rStyle w:val="Strong"/>
          <w:b w:val="0"/>
        </w:rPr>
        <w:t>persisted</w:t>
      </w:r>
      <w:r w:rsidR="00176FDF">
        <w:rPr>
          <w:rStyle w:val="Strong"/>
          <w:b w:val="0"/>
        </w:rPr>
        <w:t>, and has done so ever since</w:t>
      </w:r>
      <w:r>
        <w:rPr>
          <w:rStyle w:val="Strong"/>
          <w:b w:val="0"/>
        </w:rPr>
        <w:t>.</w:t>
      </w:r>
    </w:p>
    <w:p w:rsidR="00374D2A" w:rsidRPr="00374D2A" w:rsidRDefault="00374D2A" w:rsidP="004D4E5C">
      <w:pPr>
        <w:keepNext/>
        <w:spacing w:before="120" w:after="120" w:line="360" w:lineRule="auto"/>
        <w:rPr>
          <w:rStyle w:val="Strong"/>
        </w:rPr>
      </w:pPr>
      <w:r w:rsidRPr="00374D2A">
        <w:rPr>
          <w:rStyle w:val="Strong"/>
        </w:rPr>
        <w:t>Principle</w:t>
      </w:r>
    </w:p>
    <w:p w:rsidR="00D22DF1" w:rsidRDefault="003B53E6" w:rsidP="00FE2A22">
      <w:pPr>
        <w:pStyle w:val="ListParagraph"/>
        <w:rPr>
          <w:rStyle w:val="Strong"/>
          <w:b w:val="0"/>
        </w:rPr>
      </w:pPr>
      <w:r>
        <w:rPr>
          <w:rStyle w:val="Strong"/>
          <w:b w:val="0"/>
        </w:rPr>
        <w:t>Having briefly summarised the</w:t>
      </w:r>
      <w:r w:rsidR="00AB3585">
        <w:rPr>
          <w:rStyle w:val="Strong"/>
          <w:b w:val="0"/>
        </w:rPr>
        <w:t xml:space="preserve"> repugnancy</w:t>
      </w:r>
      <w:r>
        <w:rPr>
          <w:rStyle w:val="Strong"/>
          <w:b w:val="0"/>
        </w:rPr>
        <w:t xml:space="preserve"> doctrine, t</w:t>
      </w:r>
      <w:r w:rsidR="00FF2051">
        <w:rPr>
          <w:rStyle w:val="Strong"/>
          <w:b w:val="0"/>
        </w:rPr>
        <w:t xml:space="preserve">his section </w:t>
      </w:r>
      <w:r>
        <w:rPr>
          <w:rStyle w:val="Strong"/>
          <w:b w:val="0"/>
        </w:rPr>
        <w:t>goes on to argue</w:t>
      </w:r>
      <w:r w:rsidR="00FF2051">
        <w:rPr>
          <w:rStyle w:val="Strong"/>
          <w:b w:val="0"/>
        </w:rPr>
        <w:t xml:space="preserve"> that there </w:t>
      </w:r>
      <w:r w:rsidR="00273B67">
        <w:rPr>
          <w:rStyle w:val="Strong"/>
          <w:b w:val="0"/>
        </w:rPr>
        <w:t xml:space="preserve">are four reasons why, as a matter of principle, </w:t>
      </w:r>
      <w:r w:rsidR="00176FDF">
        <w:rPr>
          <w:rStyle w:val="Strong"/>
          <w:b w:val="0"/>
        </w:rPr>
        <w:t xml:space="preserve">it </w:t>
      </w:r>
      <w:r w:rsidR="00273B67">
        <w:rPr>
          <w:rStyle w:val="Strong"/>
          <w:b w:val="0"/>
        </w:rPr>
        <w:t>should be rejected.</w:t>
      </w:r>
    </w:p>
    <w:p w:rsidR="00B70FE3" w:rsidRDefault="0055429E" w:rsidP="0049028F">
      <w:pPr>
        <w:pStyle w:val="ListParagraph"/>
        <w:rPr>
          <w:rStyle w:val="Strong"/>
          <w:b w:val="0"/>
        </w:rPr>
      </w:pPr>
      <w:r>
        <w:rPr>
          <w:rStyle w:val="Strong"/>
          <w:b w:val="0"/>
        </w:rPr>
        <w:t>F</w:t>
      </w:r>
      <w:r w:rsidR="00911F54">
        <w:rPr>
          <w:rStyle w:val="Strong"/>
          <w:b w:val="0"/>
        </w:rPr>
        <w:t>irst</w:t>
      </w:r>
      <w:r>
        <w:rPr>
          <w:rStyle w:val="Strong"/>
          <w:b w:val="0"/>
        </w:rPr>
        <w:t>,</w:t>
      </w:r>
      <w:r w:rsidR="00911F54">
        <w:rPr>
          <w:rStyle w:val="Strong"/>
          <w:b w:val="0"/>
        </w:rPr>
        <w:t xml:space="preserve"> </w:t>
      </w:r>
      <w:r w:rsidR="002A4388">
        <w:rPr>
          <w:rStyle w:val="Strong"/>
          <w:b w:val="0"/>
        </w:rPr>
        <w:t xml:space="preserve">the repugnancy doctrine </w:t>
      </w:r>
      <w:r w:rsidR="00911F54">
        <w:rPr>
          <w:rStyle w:val="Strong"/>
          <w:b w:val="0"/>
        </w:rPr>
        <w:t xml:space="preserve">is </w:t>
      </w:r>
      <w:r w:rsidR="0049028F">
        <w:rPr>
          <w:rStyle w:val="Strong"/>
          <w:i/>
        </w:rPr>
        <w:t>unprincipled and uncertain</w:t>
      </w:r>
      <w:r w:rsidR="00EA3B6C">
        <w:rPr>
          <w:rStyle w:val="Strong"/>
          <w:b w:val="0"/>
        </w:rPr>
        <w:t xml:space="preserve">.  Lord Roskill concluded </w:t>
      </w:r>
      <w:r w:rsidR="00911F54">
        <w:rPr>
          <w:rStyle w:val="Strong"/>
          <w:b w:val="0"/>
        </w:rPr>
        <w:t>in</w:t>
      </w:r>
      <w:r w:rsidR="001C37FE">
        <w:rPr>
          <w:rStyle w:val="Strong"/>
          <w:b w:val="0"/>
        </w:rPr>
        <w:t xml:space="preserve"> </w:t>
      </w:r>
      <w:r w:rsidR="001C37FE">
        <w:rPr>
          <w:rStyle w:val="Strong"/>
          <w:b w:val="0"/>
          <w:i/>
        </w:rPr>
        <w:t>The TFL Prosperity</w:t>
      </w:r>
      <w:r w:rsidR="00911F54">
        <w:rPr>
          <w:rStyle w:val="Strong"/>
          <w:b w:val="0"/>
        </w:rPr>
        <w:t xml:space="preserve"> </w:t>
      </w:r>
      <w:r w:rsidR="00EA3B6C">
        <w:rPr>
          <w:rStyle w:val="Strong"/>
          <w:b w:val="0"/>
        </w:rPr>
        <w:t xml:space="preserve">that, while the owners did have </w:t>
      </w:r>
      <w:r w:rsidR="00EA3B6C" w:rsidRPr="00EA3B6C">
        <w:rPr>
          <w:rStyle w:val="Strong"/>
          <w:b w:val="0"/>
          <w:i/>
        </w:rPr>
        <w:t>some</w:t>
      </w:r>
      <w:r w:rsidR="00EA3B6C">
        <w:rPr>
          <w:rStyle w:val="Strong"/>
          <w:b w:val="0"/>
        </w:rPr>
        <w:t xml:space="preserve"> enforceable obligations, they did not have enough obligations for the contract to be recognised as a charterparty.  This reasoning</w:t>
      </w:r>
      <w:r w:rsidR="00136D61">
        <w:rPr>
          <w:rStyle w:val="Strong"/>
          <w:b w:val="0"/>
        </w:rPr>
        <w:t xml:space="preserve"> hints at</w:t>
      </w:r>
      <w:r w:rsidR="00EA3B6C">
        <w:rPr>
          <w:rStyle w:val="Strong"/>
          <w:b w:val="0"/>
        </w:rPr>
        <w:t xml:space="preserve"> </w:t>
      </w:r>
      <w:r w:rsidR="00911F54">
        <w:rPr>
          <w:rStyle w:val="Strong"/>
          <w:b w:val="0"/>
        </w:rPr>
        <w:t>an ‘irreducible core’ of obligations</w:t>
      </w:r>
      <w:r w:rsidR="00B9637F">
        <w:rPr>
          <w:rStyle w:val="Strong"/>
          <w:b w:val="0"/>
        </w:rPr>
        <w:t>,</w:t>
      </w:r>
      <w:r w:rsidR="00911F54">
        <w:rPr>
          <w:rStyle w:val="Strong"/>
          <w:b w:val="0"/>
        </w:rPr>
        <w:t xml:space="preserve"> </w:t>
      </w:r>
      <w:r w:rsidR="00720277">
        <w:rPr>
          <w:rStyle w:val="Strong"/>
          <w:b w:val="0"/>
        </w:rPr>
        <w:t xml:space="preserve">without </w:t>
      </w:r>
      <w:r w:rsidR="00911F54">
        <w:rPr>
          <w:rStyle w:val="Strong"/>
          <w:b w:val="0"/>
        </w:rPr>
        <w:t xml:space="preserve">which a contract </w:t>
      </w:r>
      <w:r w:rsidR="007036F5">
        <w:rPr>
          <w:rStyle w:val="Strong"/>
          <w:b w:val="0"/>
        </w:rPr>
        <w:t xml:space="preserve">cannot </w:t>
      </w:r>
      <w:r w:rsidR="008D4CB0">
        <w:rPr>
          <w:rStyle w:val="Strong"/>
          <w:b w:val="0"/>
        </w:rPr>
        <w:t>be</w:t>
      </w:r>
      <w:r w:rsidR="007036F5">
        <w:rPr>
          <w:rStyle w:val="Strong"/>
          <w:b w:val="0"/>
        </w:rPr>
        <w:t xml:space="preserve"> </w:t>
      </w:r>
      <w:r w:rsidR="0049028F">
        <w:rPr>
          <w:rStyle w:val="Strong"/>
          <w:b w:val="0"/>
        </w:rPr>
        <w:t xml:space="preserve">(for example) </w:t>
      </w:r>
      <w:r w:rsidR="00911F54">
        <w:rPr>
          <w:rStyle w:val="Strong"/>
          <w:b w:val="0"/>
        </w:rPr>
        <w:t>a charterparty</w:t>
      </w:r>
      <w:r w:rsidR="00B9637F">
        <w:rPr>
          <w:rStyle w:val="Strong"/>
          <w:b w:val="0"/>
        </w:rPr>
        <w:t xml:space="preserve">.  </w:t>
      </w:r>
      <w:r w:rsidR="008D4CB0">
        <w:rPr>
          <w:rStyle w:val="Strong"/>
          <w:b w:val="0"/>
        </w:rPr>
        <w:t>In this sense, it</w:t>
      </w:r>
      <w:r w:rsidR="0049028F">
        <w:rPr>
          <w:rStyle w:val="Strong"/>
          <w:b w:val="0"/>
        </w:rPr>
        <w:t xml:space="preserve"> </w:t>
      </w:r>
      <w:r w:rsidR="00EA3B6C">
        <w:rPr>
          <w:rStyle w:val="Strong"/>
          <w:b w:val="0"/>
        </w:rPr>
        <w:t xml:space="preserve">is </w:t>
      </w:r>
      <w:r w:rsidR="0049028F">
        <w:rPr>
          <w:rStyle w:val="Strong"/>
          <w:b w:val="0"/>
        </w:rPr>
        <w:t>analogous to the ‘irreducible core’ of trusteeship set out by Millett LJ</w:t>
      </w:r>
      <w:r w:rsidR="0049028F" w:rsidRPr="0049028F">
        <w:rPr>
          <w:rStyle w:val="Strong"/>
          <w:b w:val="0"/>
        </w:rPr>
        <w:t xml:space="preserve"> </w:t>
      </w:r>
      <w:r w:rsidR="0049028F">
        <w:rPr>
          <w:rStyle w:val="Strong"/>
          <w:b w:val="0"/>
        </w:rPr>
        <w:t xml:space="preserve">in </w:t>
      </w:r>
      <w:r w:rsidR="0049028F">
        <w:rPr>
          <w:rStyle w:val="Strong"/>
          <w:b w:val="0"/>
          <w:i/>
        </w:rPr>
        <w:t>Armitage v Nurse</w:t>
      </w:r>
      <w:r w:rsidR="000D7DAC">
        <w:rPr>
          <w:rStyle w:val="Strong"/>
          <w:b w:val="0"/>
        </w:rPr>
        <w:t>.</w:t>
      </w:r>
      <w:r w:rsidR="000D7DAC">
        <w:rPr>
          <w:rStyle w:val="FootnoteReference"/>
          <w:rFonts w:ascii="Times New Roman" w:hAnsi="Times New Roman" w:cs="Times New Roman"/>
          <w:bCs/>
          <w:sz w:val="24"/>
          <w:szCs w:val="24"/>
        </w:rPr>
        <w:footnoteReference w:id="8"/>
      </w:r>
      <w:r w:rsidR="0049028F">
        <w:rPr>
          <w:rStyle w:val="Strong"/>
          <w:b w:val="0"/>
        </w:rPr>
        <w:t xml:space="preserve"> </w:t>
      </w:r>
    </w:p>
    <w:p w:rsidR="0049028F" w:rsidRDefault="0049028F" w:rsidP="0049028F">
      <w:pPr>
        <w:pStyle w:val="ListParagraph"/>
        <w:rPr>
          <w:rStyle w:val="Strong"/>
          <w:b w:val="0"/>
        </w:rPr>
      </w:pPr>
      <w:r>
        <w:rPr>
          <w:rStyle w:val="Strong"/>
          <w:b w:val="0"/>
        </w:rPr>
        <w:t>The</w:t>
      </w:r>
      <w:r w:rsidR="00B94A42">
        <w:rPr>
          <w:rStyle w:val="Strong"/>
          <w:b w:val="0"/>
        </w:rPr>
        <w:t>re are two</w:t>
      </w:r>
      <w:r>
        <w:rPr>
          <w:rStyle w:val="Strong"/>
          <w:b w:val="0"/>
        </w:rPr>
        <w:t xml:space="preserve"> difficulties with this </w:t>
      </w:r>
      <w:r w:rsidR="00B9637F">
        <w:rPr>
          <w:rStyle w:val="Strong"/>
          <w:b w:val="0"/>
        </w:rPr>
        <w:t>‘irreducible core’ reasoning</w:t>
      </w:r>
      <w:r>
        <w:rPr>
          <w:rStyle w:val="Strong"/>
          <w:b w:val="0"/>
        </w:rPr>
        <w:t>:</w:t>
      </w:r>
    </w:p>
    <w:p w:rsidR="002D79EB" w:rsidRDefault="0049028F" w:rsidP="00C941CB">
      <w:pPr>
        <w:pStyle w:val="ListParagraph"/>
        <w:numPr>
          <w:ilvl w:val="1"/>
          <w:numId w:val="2"/>
        </w:numPr>
        <w:rPr>
          <w:rStyle w:val="Strong"/>
          <w:b w:val="0"/>
        </w:rPr>
      </w:pPr>
      <w:r>
        <w:rPr>
          <w:rStyle w:val="Strong"/>
          <w:b w:val="0"/>
        </w:rPr>
        <w:t xml:space="preserve">First, </w:t>
      </w:r>
      <w:r w:rsidR="00360C3F">
        <w:rPr>
          <w:rStyle w:val="Strong"/>
          <w:b w:val="0"/>
        </w:rPr>
        <w:t xml:space="preserve">it leads to uncertainty.  While Millett LJ set out clearly what </w:t>
      </w:r>
      <w:r w:rsidR="00D45E98">
        <w:rPr>
          <w:rStyle w:val="Strong"/>
          <w:b w:val="0"/>
        </w:rPr>
        <w:t xml:space="preserve">was contained in </w:t>
      </w:r>
      <w:r w:rsidR="00360C3F">
        <w:rPr>
          <w:rStyle w:val="Strong"/>
          <w:b w:val="0"/>
        </w:rPr>
        <w:t xml:space="preserve">the </w:t>
      </w:r>
      <w:r w:rsidR="00D45E98">
        <w:rPr>
          <w:rStyle w:val="Strong"/>
          <w:b w:val="0"/>
        </w:rPr>
        <w:t>irreducible core</w:t>
      </w:r>
      <w:r w:rsidR="00360C3F">
        <w:rPr>
          <w:rStyle w:val="Strong"/>
          <w:b w:val="0"/>
        </w:rPr>
        <w:t xml:space="preserve"> of trusteeship, </w:t>
      </w:r>
      <w:r w:rsidR="004A180B">
        <w:rPr>
          <w:rStyle w:val="Strong"/>
          <w:b w:val="0"/>
        </w:rPr>
        <w:t>Lord Roskill</w:t>
      </w:r>
      <w:r w:rsidR="00360C3F">
        <w:rPr>
          <w:rStyle w:val="Strong"/>
          <w:b w:val="0"/>
        </w:rPr>
        <w:t xml:space="preserve"> did not set</w:t>
      </w:r>
      <w:r w:rsidR="00D45E98">
        <w:rPr>
          <w:rStyle w:val="Strong"/>
          <w:b w:val="0"/>
        </w:rPr>
        <w:t xml:space="preserve"> out what the irreducible core</w:t>
      </w:r>
      <w:r w:rsidR="00360C3F">
        <w:rPr>
          <w:rStyle w:val="Strong"/>
          <w:b w:val="0"/>
        </w:rPr>
        <w:t xml:space="preserve"> of a charterparty might be</w:t>
      </w:r>
      <w:r w:rsidRPr="00C941CB">
        <w:rPr>
          <w:rStyle w:val="Strong"/>
          <w:b w:val="0"/>
        </w:rPr>
        <w:t xml:space="preserve">.  </w:t>
      </w:r>
      <w:r w:rsidR="00C941CB">
        <w:rPr>
          <w:rStyle w:val="Strong"/>
          <w:b w:val="0"/>
        </w:rPr>
        <w:t xml:space="preserve">Would </w:t>
      </w:r>
      <w:r w:rsidR="002D79EB">
        <w:rPr>
          <w:rStyle w:val="Strong"/>
          <w:b w:val="0"/>
        </w:rPr>
        <w:t>it be enough for owners to have been</w:t>
      </w:r>
      <w:r w:rsidR="00284A4C">
        <w:rPr>
          <w:rStyle w:val="Strong"/>
          <w:b w:val="0"/>
        </w:rPr>
        <w:t xml:space="preserve"> </w:t>
      </w:r>
      <w:r w:rsidR="006970F3" w:rsidRPr="00C941CB">
        <w:rPr>
          <w:rStyle w:val="Strong"/>
          <w:b w:val="0"/>
        </w:rPr>
        <w:t xml:space="preserve">liable for delay </w:t>
      </w:r>
      <w:r w:rsidR="00E63A18" w:rsidRPr="00C941CB">
        <w:rPr>
          <w:rStyle w:val="Strong"/>
          <w:b w:val="0"/>
        </w:rPr>
        <w:t xml:space="preserve">and loss to cargo </w:t>
      </w:r>
      <w:r w:rsidR="006970F3" w:rsidRPr="00C941CB">
        <w:rPr>
          <w:rStyle w:val="Strong"/>
          <w:b w:val="0"/>
        </w:rPr>
        <w:t xml:space="preserve">caused by </w:t>
      </w:r>
      <w:r w:rsidRPr="00C941CB">
        <w:rPr>
          <w:rStyle w:val="Strong"/>
          <w:b w:val="0"/>
        </w:rPr>
        <w:t xml:space="preserve">lack of </w:t>
      </w:r>
      <w:r w:rsidR="006970F3" w:rsidRPr="00C941CB">
        <w:rPr>
          <w:rStyle w:val="Strong"/>
          <w:b w:val="0"/>
        </w:rPr>
        <w:t xml:space="preserve">due diligence </w:t>
      </w:r>
      <w:r w:rsidR="006970F3" w:rsidRPr="00C941CB">
        <w:rPr>
          <w:rStyle w:val="Strong"/>
          <w:b w:val="0"/>
          <w:i/>
        </w:rPr>
        <w:t xml:space="preserve">and </w:t>
      </w:r>
      <w:r w:rsidR="006970F3" w:rsidRPr="00C941CB">
        <w:rPr>
          <w:rStyle w:val="Strong"/>
          <w:b w:val="0"/>
        </w:rPr>
        <w:t>neg</w:t>
      </w:r>
      <w:r w:rsidR="00970F61" w:rsidRPr="00C941CB">
        <w:rPr>
          <w:rStyle w:val="Strong"/>
          <w:b w:val="0"/>
        </w:rPr>
        <w:t>ligence</w:t>
      </w:r>
      <w:r w:rsidR="002D79EB">
        <w:rPr>
          <w:rStyle w:val="Strong"/>
          <w:b w:val="0"/>
        </w:rPr>
        <w:t xml:space="preserve"> on their part; or would that too have been considered no more than a declaration of intent</w:t>
      </w:r>
      <w:r w:rsidR="00970F61" w:rsidRPr="00C941CB">
        <w:rPr>
          <w:rStyle w:val="Strong"/>
          <w:b w:val="0"/>
        </w:rPr>
        <w:t>?</w:t>
      </w:r>
      <w:r w:rsidR="0014592E">
        <w:rPr>
          <w:rStyle w:val="Strong"/>
          <w:b w:val="0"/>
        </w:rPr>
        <w:t xml:space="preserve">  The difficulties at the margins are extreme.</w:t>
      </w:r>
    </w:p>
    <w:p w:rsidR="008D4CB0" w:rsidRPr="0049028F" w:rsidRDefault="008D4CB0" w:rsidP="0049028F">
      <w:pPr>
        <w:pStyle w:val="ListParagraph"/>
        <w:numPr>
          <w:ilvl w:val="1"/>
          <w:numId w:val="2"/>
        </w:numPr>
        <w:rPr>
          <w:rStyle w:val="Strong"/>
          <w:b w:val="0"/>
        </w:rPr>
      </w:pPr>
      <w:r>
        <w:rPr>
          <w:rStyle w:val="Strong"/>
          <w:b w:val="0"/>
        </w:rPr>
        <w:t>Second</w:t>
      </w:r>
      <w:r w:rsidR="002D79EB">
        <w:rPr>
          <w:rStyle w:val="Strong"/>
          <w:b w:val="0"/>
        </w:rPr>
        <w:t>ly</w:t>
      </w:r>
      <w:r>
        <w:rPr>
          <w:rStyle w:val="Strong"/>
          <w:b w:val="0"/>
        </w:rPr>
        <w:t>, the</w:t>
      </w:r>
      <w:r w:rsidR="0080425E">
        <w:rPr>
          <w:rStyle w:val="Strong"/>
          <w:b w:val="0"/>
        </w:rPr>
        <w:t xml:space="preserve"> notion of an irreducible core</w:t>
      </w:r>
      <w:r>
        <w:rPr>
          <w:rStyle w:val="Strong"/>
          <w:b w:val="0"/>
        </w:rPr>
        <w:t xml:space="preserve">, while workable in trusts law, is </w:t>
      </w:r>
      <w:r w:rsidR="00CD6989">
        <w:rPr>
          <w:rStyle w:val="Strong"/>
          <w:b w:val="0"/>
        </w:rPr>
        <w:t>simp</w:t>
      </w:r>
      <w:r w:rsidR="007F0A81">
        <w:rPr>
          <w:rStyle w:val="Strong"/>
          <w:b w:val="0"/>
        </w:rPr>
        <w:t xml:space="preserve">ly unfeasible in contract law.  </w:t>
      </w:r>
      <w:r w:rsidR="00CD6989">
        <w:rPr>
          <w:rStyle w:val="Strong"/>
          <w:b w:val="0"/>
        </w:rPr>
        <w:t xml:space="preserve">Devlin J rejected one interpretation of a contract in </w:t>
      </w:r>
      <w:r w:rsidR="00CD6989">
        <w:rPr>
          <w:rStyle w:val="Strong"/>
          <w:b w:val="0"/>
          <w:i/>
        </w:rPr>
        <w:t>Firestone</w:t>
      </w:r>
      <w:r w:rsidR="001C37FE">
        <w:rPr>
          <w:rStyle w:val="Strong"/>
          <w:b w:val="0"/>
          <w:i/>
        </w:rPr>
        <w:t xml:space="preserve"> Tyre and Rubber Company v Vokins</w:t>
      </w:r>
      <w:r w:rsidR="000D7DAC">
        <w:rPr>
          <w:rStyle w:val="FootnoteReference"/>
          <w:rFonts w:ascii="Times New Roman" w:hAnsi="Times New Roman" w:cs="Times New Roman"/>
          <w:bCs/>
          <w:sz w:val="24"/>
          <w:szCs w:val="24"/>
        </w:rPr>
        <w:footnoteReference w:id="9"/>
      </w:r>
      <w:r w:rsidR="00CD6989">
        <w:rPr>
          <w:rStyle w:val="Strong"/>
          <w:b w:val="0"/>
        </w:rPr>
        <w:t xml:space="preserve"> on the basis that it would ‘turn a </w:t>
      </w:r>
      <w:r w:rsidR="00CD6989">
        <w:rPr>
          <w:rStyle w:val="Strong"/>
          <w:b w:val="0"/>
        </w:rPr>
        <w:lastRenderedPageBreak/>
        <w:t>contract of carriag</w:t>
      </w:r>
      <w:r w:rsidR="0080425E">
        <w:rPr>
          <w:rStyle w:val="Strong"/>
          <w:b w:val="0"/>
        </w:rPr>
        <w:t xml:space="preserve">e into a contract of indemnity’: thereby contemplating different cores for different types of contract.  </w:t>
      </w:r>
      <w:r w:rsidR="00E813EF">
        <w:rPr>
          <w:rStyle w:val="Strong"/>
          <w:b w:val="0"/>
        </w:rPr>
        <w:t xml:space="preserve">While there are areas in which courts do ‘categorise’ contracts by their type – consider, for example, </w:t>
      </w:r>
      <w:r w:rsidR="007F0A81">
        <w:rPr>
          <w:rStyle w:val="Strong"/>
          <w:b w:val="0"/>
        </w:rPr>
        <w:t xml:space="preserve">implied terms at law in </w:t>
      </w:r>
      <w:r w:rsidR="00E813EF">
        <w:rPr>
          <w:rStyle w:val="Strong"/>
          <w:b w:val="0"/>
        </w:rPr>
        <w:t>contracts of employment</w:t>
      </w:r>
      <w:r w:rsidR="007F0A81">
        <w:rPr>
          <w:rStyle w:val="Strong"/>
          <w:b w:val="0"/>
        </w:rPr>
        <w:t xml:space="preserve"> </w:t>
      </w:r>
      <w:r w:rsidR="00E813EF">
        <w:rPr>
          <w:rStyle w:val="Strong"/>
          <w:b w:val="0"/>
        </w:rPr>
        <w:t>–</w:t>
      </w:r>
      <w:r w:rsidR="00540AFE">
        <w:rPr>
          <w:rStyle w:val="Strong"/>
          <w:b w:val="0"/>
        </w:rPr>
        <w:t xml:space="preserve"> many </w:t>
      </w:r>
      <w:r w:rsidR="00E813EF">
        <w:rPr>
          <w:rStyle w:val="Strong"/>
          <w:b w:val="0"/>
        </w:rPr>
        <w:t>contracts cannot be so easily</w:t>
      </w:r>
      <w:r w:rsidR="00540AFE">
        <w:rPr>
          <w:rStyle w:val="Strong"/>
          <w:b w:val="0"/>
        </w:rPr>
        <w:t xml:space="preserve"> pigeonholed</w:t>
      </w:r>
      <w:r w:rsidR="00E813EF">
        <w:rPr>
          <w:rStyle w:val="Strong"/>
          <w:b w:val="0"/>
        </w:rPr>
        <w:t xml:space="preserve">.  Nor does </w:t>
      </w:r>
      <w:r w:rsidR="0080425E">
        <w:rPr>
          <w:rStyle w:val="Strong"/>
          <w:b w:val="0"/>
        </w:rPr>
        <w:t xml:space="preserve">the irreducible core reasoning </w:t>
      </w:r>
      <w:r w:rsidR="00E813EF">
        <w:rPr>
          <w:rStyle w:val="Strong"/>
          <w:b w:val="0"/>
        </w:rPr>
        <w:t xml:space="preserve">provide a workable solution in </w:t>
      </w:r>
      <w:r w:rsidR="00E813EF">
        <w:rPr>
          <w:rStyle w:val="Strong"/>
          <w:b w:val="0"/>
          <w:i/>
        </w:rPr>
        <w:t>sui generis</w:t>
      </w:r>
      <w:r w:rsidR="00E813EF">
        <w:rPr>
          <w:rStyle w:val="Strong"/>
          <w:b w:val="0"/>
        </w:rPr>
        <w:t xml:space="preserve"> contracts, or those which contain elements of different types of contracts.</w:t>
      </w:r>
    </w:p>
    <w:p w:rsidR="00DC4841" w:rsidRDefault="0055429E" w:rsidP="002A4388">
      <w:pPr>
        <w:pStyle w:val="ListParagraph"/>
        <w:rPr>
          <w:rStyle w:val="Strong"/>
          <w:b w:val="0"/>
        </w:rPr>
      </w:pPr>
      <w:r>
        <w:rPr>
          <w:rStyle w:val="Strong"/>
          <w:b w:val="0"/>
        </w:rPr>
        <w:t>S</w:t>
      </w:r>
      <w:r w:rsidR="002A4388">
        <w:rPr>
          <w:rStyle w:val="Strong"/>
          <w:b w:val="0"/>
        </w:rPr>
        <w:t>econd</w:t>
      </w:r>
      <w:r>
        <w:rPr>
          <w:rStyle w:val="Strong"/>
          <w:b w:val="0"/>
        </w:rPr>
        <w:t>,</w:t>
      </w:r>
      <w:r w:rsidR="00911F54">
        <w:rPr>
          <w:rStyle w:val="Strong"/>
          <w:b w:val="0"/>
        </w:rPr>
        <w:t xml:space="preserve"> </w:t>
      </w:r>
      <w:r w:rsidR="002A4388">
        <w:rPr>
          <w:rStyle w:val="Strong"/>
          <w:b w:val="0"/>
        </w:rPr>
        <w:t xml:space="preserve">the repugnancy doctrine </w:t>
      </w:r>
      <w:r w:rsidR="002A4388">
        <w:rPr>
          <w:rStyle w:val="Strong"/>
          <w:i/>
        </w:rPr>
        <w:t>sits uneasily with modern authorities</w:t>
      </w:r>
      <w:r w:rsidR="002A4388">
        <w:rPr>
          <w:rStyle w:val="Strong"/>
          <w:b w:val="0"/>
        </w:rPr>
        <w:t xml:space="preserve">.  Contracts which give one party the right to terminate for convenience are, in one respect, similar to those which exclude liability for loss.  In </w:t>
      </w:r>
      <w:r w:rsidR="002A4388" w:rsidRPr="002A4388">
        <w:rPr>
          <w:rStyle w:val="Strong"/>
          <w:b w:val="0"/>
          <w:i/>
        </w:rPr>
        <w:t>Lotus v Comau</w:t>
      </w:r>
      <w:r w:rsidR="000D7DAC" w:rsidRPr="000D7DAC">
        <w:rPr>
          <w:rStyle w:val="FootnoteReference"/>
          <w:rFonts w:ascii="Times New Roman" w:hAnsi="Times New Roman" w:cs="Times New Roman"/>
          <w:bCs/>
          <w:sz w:val="24"/>
          <w:szCs w:val="24"/>
        </w:rPr>
        <w:footnoteReference w:id="10"/>
      </w:r>
      <w:r w:rsidR="002A4388">
        <w:rPr>
          <w:rStyle w:val="Strong"/>
          <w:b w:val="0"/>
        </w:rPr>
        <w:t xml:space="preserve"> </w:t>
      </w:r>
      <w:r w:rsidR="00DC4841">
        <w:rPr>
          <w:rStyle w:val="Strong"/>
          <w:b w:val="0"/>
        </w:rPr>
        <w:t>Robin Knowles QC held that where A terminates a contract in which B has a right to terminate for convenience, A’s losses are to be assessed on the assumption that B would have exercised its termination right.  On the facts</w:t>
      </w:r>
      <w:r w:rsidR="005148AA">
        <w:rPr>
          <w:rStyle w:val="Strong"/>
          <w:b w:val="0"/>
        </w:rPr>
        <w:t xml:space="preserve"> of </w:t>
      </w:r>
      <w:r w:rsidR="005148AA">
        <w:rPr>
          <w:rStyle w:val="Strong"/>
          <w:b w:val="0"/>
          <w:i/>
        </w:rPr>
        <w:t>Lotus</w:t>
      </w:r>
      <w:r w:rsidR="00DC4841">
        <w:rPr>
          <w:rStyle w:val="Strong"/>
          <w:b w:val="0"/>
        </w:rPr>
        <w:t>, this assessment of damages would have given A only nominal damages.  The effect would have been the same if B had exc</w:t>
      </w:r>
      <w:r w:rsidR="005148AA">
        <w:rPr>
          <w:rStyle w:val="Strong"/>
          <w:b w:val="0"/>
        </w:rPr>
        <w:t>luded all liability for damages:</w:t>
      </w:r>
      <w:r w:rsidR="00DC4841">
        <w:rPr>
          <w:rStyle w:val="Strong"/>
          <w:b w:val="0"/>
        </w:rPr>
        <w:t xml:space="preserve"> an act which would have been struck down as ‘repugnant’ by Lord Wilberforce or Lord </w:t>
      </w:r>
      <w:r w:rsidR="005148AA">
        <w:rPr>
          <w:rStyle w:val="Strong"/>
          <w:b w:val="0"/>
        </w:rPr>
        <w:t xml:space="preserve">Roskill, but went entirely unremarked in </w:t>
      </w:r>
      <w:r w:rsidR="005148AA">
        <w:rPr>
          <w:rStyle w:val="Strong"/>
          <w:b w:val="0"/>
          <w:i/>
        </w:rPr>
        <w:t>Lotus</w:t>
      </w:r>
      <w:r w:rsidR="005148AA">
        <w:rPr>
          <w:rStyle w:val="Strong"/>
          <w:b w:val="0"/>
        </w:rPr>
        <w:t>.</w:t>
      </w:r>
    </w:p>
    <w:p w:rsidR="00EF21BC" w:rsidRDefault="00DC4841" w:rsidP="002A4388">
      <w:pPr>
        <w:pStyle w:val="ListParagraph"/>
        <w:rPr>
          <w:rStyle w:val="Strong"/>
          <w:b w:val="0"/>
        </w:rPr>
      </w:pPr>
      <w:r>
        <w:rPr>
          <w:rStyle w:val="Strong"/>
          <w:b w:val="0"/>
        </w:rPr>
        <w:t xml:space="preserve">Similarly, </w:t>
      </w:r>
      <w:r w:rsidR="008B05BF">
        <w:rPr>
          <w:rStyle w:val="Strong"/>
          <w:b w:val="0"/>
        </w:rPr>
        <w:t xml:space="preserve">one can imagine </w:t>
      </w:r>
      <w:r>
        <w:rPr>
          <w:rStyle w:val="Strong"/>
          <w:b w:val="0"/>
        </w:rPr>
        <w:t xml:space="preserve">a contract </w:t>
      </w:r>
      <w:r w:rsidR="008B05BF">
        <w:rPr>
          <w:rStyle w:val="Strong"/>
          <w:b w:val="0"/>
        </w:rPr>
        <w:t xml:space="preserve">that </w:t>
      </w:r>
      <w:r>
        <w:rPr>
          <w:rStyle w:val="Strong"/>
          <w:b w:val="0"/>
        </w:rPr>
        <w:t>give</w:t>
      </w:r>
      <w:r w:rsidR="008B05BF">
        <w:rPr>
          <w:rStyle w:val="Strong"/>
          <w:b w:val="0"/>
        </w:rPr>
        <w:t>s</w:t>
      </w:r>
      <w:r>
        <w:rPr>
          <w:rStyle w:val="Strong"/>
          <w:b w:val="0"/>
        </w:rPr>
        <w:t xml:space="preserve"> one party a</w:t>
      </w:r>
      <w:r w:rsidR="00E85143">
        <w:rPr>
          <w:rStyle w:val="Strong"/>
          <w:b w:val="0"/>
        </w:rPr>
        <w:t xml:space="preserve"> </w:t>
      </w:r>
      <w:r>
        <w:rPr>
          <w:rStyle w:val="Strong"/>
          <w:b w:val="0"/>
        </w:rPr>
        <w:t xml:space="preserve">contractual discretion whether or not to perform its obligations. </w:t>
      </w:r>
      <w:r w:rsidR="00E85143">
        <w:rPr>
          <w:rStyle w:val="Strong"/>
          <w:b w:val="0"/>
        </w:rPr>
        <w:t xml:space="preserve"> That discretion would (in general) be subject to the implied limit that it be exercised in good faith and not arbitrarily or capriciously; but, with very clear language, </w:t>
      </w:r>
      <w:r w:rsidR="008B05BF">
        <w:rPr>
          <w:rStyle w:val="Strong"/>
          <w:b w:val="0"/>
        </w:rPr>
        <w:t>the discretion</w:t>
      </w:r>
      <w:r w:rsidR="00E85143">
        <w:rPr>
          <w:rStyle w:val="Strong"/>
          <w:b w:val="0"/>
        </w:rPr>
        <w:t xml:space="preserve"> could be </w:t>
      </w:r>
      <w:r w:rsidR="008B05BF">
        <w:rPr>
          <w:rStyle w:val="Strong"/>
          <w:b w:val="0"/>
        </w:rPr>
        <w:t xml:space="preserve">rendered </w:t>
      </w:r>
      <w:r w:rsidR="00E85143">
        <w:rPr>
          <w:rStyle w:val="Strong"/>
          <w:b w:val="0"/>
        </w:rPr>
        <w:t xml:space="preserve">entirely unfettered (per Lord Sumption in </w:t>
      </w:r>
      <w:r w:rsidR="00E85143" w:rsidRPr="00DC21DE">
        <w:rPr>
          <w:rStyle w:val="Strong"/>
          <w:b w:val="0"/>
          <w:i/>
        </w:rPr>
        <w:t>BT v Telefonica</w:t>
      </w:r>
      <w:r w:rsidR="000D7DAC" w:rsidRPr="000D7DAC">
        <w:rPr>
          <w:rStyle w:val="FootnoteReference"/>
          <w:rFonts w:ascii="Times New Roman" w:hAnsi="Times New Roman" w:cs="Times New Roman"/>
          <w:bCs/>
          <w:sz w:val="24"/>
          <w:szCs w:val="24"/>
        </w:rPr>
        <w:footnoteReference w:id="11"/>
      </w:r>
      <w:r w:rsidR="00E85143">
        <w:rPr>
          <w:rStyle w:val="Strong"/>
          <w:b w:val="0"/>
        </w:rPr>
        <w:t xml:space="preserve">).  </w:t>
      </w:r>
      <w:r w:rsidR="008F16ED">
        <w:rPr>
          <w:rStyle w:val="Strong"/>
          <w:b w:val="0"/>
        </w:rPr>
        <w:t>Such an unfettered discretion should fall within the ambit of the repugnancy doctr</w:t>
      </w:r>
      <w:r w:rsidR="008B05BF">
        <w:rPr>
          <w:rStyle w:val="Strong"/>
          <w:b w:val="0"/>
        </w:rPr>
        <w:t>ine, since it would make a party’s obligations effectively no more t</w:t>
      </w:r>
      <w:r w:rsidR="008F16ED">
        <w:rPr>
          <w:rStyle w:val="Strong"/>
          <w:b w:val="0"/>
        </w:rPr>
        <w:t xml:space="preserve">han a </w:t>
      </w:r>
      <w:r w:rsidR="003E64C1">
        <w:rPr>
          <w:rStyle w:val="Strong"/>
          <w:b w:val="0"/>
        </w:rPr>
        <w:t>statement</w:t>
      </w:r>
      <w:r w:rsidR="008F16ED">
        <w:rPr>
          <w:rStyle w:val="Strong"/>
          <w:b w:val="0"/>
        </w:rPr>
        <w:t xml:space="preserve"> of intent.  But </w:t>
      </w:r>
      <w:r w:rsidR="003E64C1">
        <w:rPr>
          <w:rStyle w:val="Strong"/>
          <w:b w:val="0"/>
        </w:rPr>
        <w:t xml:space="preserve">it is submitted that a court </w:t>
      </w:r>
      <w:r w:rsidR="008B05BF">
        <w:rPr>
          <w:rStyle w:val="Strong"/>
          <w:b w:val="0"/>
        </w:rPr>
        <w:t>would</w:t>
      </w:r>
      <w:r w:rsidR="003E64C1">
        <w:rPr>
          <w:rStyle w:val="Strong"/>
          <w:b w:val="0"/>
        </w:rPr>
        <w:t xml:space="preserve"> be very reluctant to strike</w:t>
      </w:r>
      <w:r w:rsidR="008B05BF">
        <w:rPr>
          <w:rStyle w:val="Strong"/>
          <w:b w:val="0"/>
        </w:rPr>
        <w:t xml:space="preserve"> such a contract down</w:t>
      </w:r>
      <w:r w:rsidR="003E64C1">
        <w:rPr>
          <w:rStyle w:val="Strong"/>
          <w:b w:val="0"/>
        </w:rPr>
        <w:t xml:space="preserve">: to do so would </w:t>
      </w:r>
      <w:r w:rsidR="008B05BF">
        <w:rPr>
          <w:rStyle w:val="Strong"/>
          <w:b w:val="0"/>
        </w:rPr>
        <w:t>be</w:t>
      </w:r>
      <w:r w:rsidR="003E64C1">
        <w:rPr>
          <w:rStyle w:val="Strong"/>
          <w:b w:val="0"/>
        </w:rPr>
        <w:t xml:space="preserve"> acting entirely c</w:t>
      </w:r>
      <w:r w:rsidR="008B05BF">
        <w:rPr>
          <w:rStyle w:val="Strong"/>
          <w:b w:val="0"/>
        </w:rPr>
        <w:t>ontrary to the parties’ bargain</w:t>
      </w:r>
      <w:r w:rsidR="003E64C1">
        <w:rPr>
          <w:rStyle w:val="Strong"/>
          <w:b w:val="0"/>
        </w:rPr>
        <w:t xml:space="preserve">.  </w:t>
      </w:r>
    </w:p>
    <w:p w:rsidR="0055429E" w:rsidRDefault="0055429E" w:rsidP="0055429E">
      <w:pPr>
        <w:pStyle w:val="ListParagraph"/>
        <w:rPr>
          <w:rStyle w:val="Strong"/>
          <w:b w:val="0"/>
        </w:rPr>
      </w:pPr>
      <w:r>
        <w:rPr>
          <w:rStyle w:val="Strong"/>
          <w:b w:val="0"/>
        </w:rPr>
        <w:t xml:space="preserve">Third, the repugnancy doctrine is liable to being used as </w:t>
      </w:r>
      <w:r w:rsidRPr="0055429E">
        <w:rPr>
          <w:rStyle w:val="Strong"/>
          <w:i/>
        </w:rPr>
        <w:t>an argument of last resort in difficult cases</w:t>
      </w:r>
      <w:r>
        <w:rPr>
          <w:rStyle w:val="Strong"/>
          <w:b w:val="0"/>
        </w:rPr>
        <w:t>.  Three examples are given:</w:t>
      </w:r>
    </w:p>
    <w:p w:rsidR="0055429E" w:rsidRPr="0055429E" w:rsidRDefault="0055429E" w:rsidP="0055429E">
      <w:pPr>
        <w:pStyle w:val="ListParagraph"/>
        <w:numPr>
          <w:ilvl w:val="1"/>
          <w:numId w:val="2"/>
        </w:numPr>
        <w:rPr>
          <w:rStyle w:val="Strong"/>
          <w:b w:val="0"/>
          <w:bCs w:val="0"/>
        </w:rPr>
      </w:pPr>
      <w:r w:rsidRPr="0055429E">
        <w:rPr>
          <w:rStyle w:val="Strong"/>
          <w:b w:val="0"/>
        </w:rPr>
        <w:t xml:space="preserve">In </w:t>
      </w:r>
      <w:r w:rsidRPr="0055429E">
        <w:rPr>
          <w:rStyle w:val="Strong"/>
          <w:b w:val="0"/>
          <w:i/>
        </w:rPr>
        <w:t>Mendelssohn v Normand</w:t>
      </w:r>
      <w:r w:rsidR="002A61C9" w:rsidRPr="002A61C9">
        <w:rPr>
          <w:rStyle w:val="FootnoteReference"/>
          <w:rFonts w:ascii="Times New Roman" w:hAnsi="Times New Roman" w:cs="Times New Roman"/>
          <w:bCs/>
          <w:sz w:val="24"/>
          <w:szCs w:val="24"/>
        </w:rPr>
        <w:footnoteReference w:id="12"/>
      </w:r>
      <w:r w:rsidRPr="0055429E">
        <w:rPr>
          <w:rStyle w:val="Strong"/>
          <w:b w:val="0"/>
          <w:i/>
        </w:rPr>
        <w:t xml:space="preserve"> </w:t>
      </w:r>
      <w:r w:rsidRPr="0055429E">
        <w:rPr>
          <w:rStyle w:val="Strong"/>
          <w:b w:val="0"/>
        </w:rPr>
        <w:t>M parked</w:t>
      </w:r>
      <w:r>
        <w:rPr>
          <w:rStyle w:val="Strong"/>
          <w:b w:val="0"/>
        </w:rPr>
        <w:t xml:space="preserve"> his</w:t>
      </w:r>
      <w:r w:rsidRPr="0055429E">
        <w:rPr>
          <w:rStyle w:val="Strong"/>
          <w:b w:val="0"/>
        </w:rPr>
        <w:t xml:space="preserve"> car in g</w:t>
      </w:r>
      <w:r>
        <w:rPr>
          <w:rStyle w:val="Strong"/>
          <w:b w:val="0"/>
        </w:rPr>
        <w:t xml:space="preserve">arage and, on complaining about </w:t>
      </w:r>
      <w:r w:rsidR="00F12B31">
        <w:rPr>
          <w:rStyle w:val="Strong"/>
          <w:b w:val="0"/>
        </w:rPr>
        <w:t xml:space="preserve">the garage’s rule that he was </w:t>
      </w:r>
      <w:r>
        <w:rPr>
          <w:rStyle w:val="Strong"/>
          <w:b w:val="0"/>
        </w:rPr>
        <w:t xml:space="preserve">not allowed to lock his car, </w:t>
      </w:r>
      <w:r w:rsidRPr="0055429E">
        <w:rPr>
          <w:rStyle w:val="Strong"/>
          <w:b w:val="0"/>
        </w:rPr>
        <w:t>was told by an attendant that he (the attendant) would lock it</w:t>
      </w:r>
      <w:r w:rsidR="00F12B31">
        <w:rPr>
          <w:rStyle w:val="Strong"/>
          <w:b w:val="0"/>
        </w:rPr>
        <w:t xml:space="preserve"> for him</w:t>
      </w:r>
      <w:r w:rsidRPr="0055429E">
        <w:rPr>
          <w:rStyle w:val="Strong"/>
          <w:b w:val="0"/>
        </w:rPr>
        <w:t>. M’s suitcase</w:t>
      </w:r>
      <w:r>
        <w:rPr>
          <w:rStyle w:val="Strong"/>
          <w:b w:val="0"/>
        </w:rPr>
        <w:t>, which had been on the back seat,</w:t>
      </w:r>
      <w:r w:rsidRPr="0055429E">
        <w:rPr>
          <w:rStyle w:val="Strong"/>
          <w:b w:val="0"/>
        </w:rPr>
        <w:t xml:space="preserve"> was stolen</w:t>
      </w:r>
      <w:r w:rsidR="0033535A">
        <w:rPr>
          <w:rStyle w:val="Strong"/>
          <w:b w:val="0"/>
        </w:rPr>
        <w:t>, most probably by the attendant</w:t>
      </w:r>
      <w:r w:rsidR="00F12B31">
        <w:rPr>
          <w:rStyle w:val="Strong"/>
          <w:b w:val="0"/>
        </w:rPr>
        <w:t xml:space="preserve">. In response to M’s claim for </w:t>
      </w:r>
      <w:r w:rsidR="00F12B31">
        <w:rPr>
          <w:rStyle w:val="Strong"/>
          <w:b w:val="0"/>
        </w:rPr>
        <w:lastRenderedPageBreak/>
        <w:t>damages, t</w:t>
      </w:r>
      <w:r w:rsidR="00245595">
        <w:rPr>
          <w:rStyle w:val="Strong"/>
          <w:b w:val="0"/>
        </w:rPr>
        <w:t>he g</w:t>
      </w:r>
      <w:r w:rsidRPr="0055429E">
        <w:rPr>
          <w:rStyle w:val="Strong"/>
          <w:b w:val="0"/>
        </w:rPr>
        <w:t xml:space="preserve">arage </w:t>
      </w:r>
      <w:r w:rsidR="00F12B31">
        <w:rPr>
          <w:rStyle w:val="Strong"/>
          <w:b w:val="0"/>
        </w:rPr>
        <w:t xml:space="preserve">raised an exclusion clause, which </w:t>
      </w:r>
      <w:r w:rsidRPr="0055429E">
        <w:rPr>
          <w:rStyle w:val="Strong"/>
          <w:b w:val="0"/>
        </w:rPr>
        <w:t xml:space="preserve">excluded liability for </w:t>
      </w:r>
      <w:r w:rsidR="00AF0127">
        <w:rPr>
          <w:rStyle w:val="Strong"/>
          <w:b w:val="0"/>
        </w:rPr>
        <w:t xml:space="preserve">‘any loss or damage … </w:t>
      </w:r>
      <w:r w:rsidRPr="0055429E">
        <w:rPr>
          <w:rStyle w:val="Strong"/>
          <w:b w:val="0"/>
        </w:rPr>
        <w:t xml:space="preserve">however caused’.  </w:t>
      </w:r>
      <w:r w:rsidR="0033535A">
        <w:rPr>
          <w:rStyle w:val="Strong"/>
          <w:b w:val="0"/>
        </w:rPr>
        <w:t>Lord Denning MR held that the term was rejected because it was ‘repugnant to the express oral promise or representation’</w:t>
      </w:r>
      <w:r w:rsidR="0080425E">
        <w:rPr>
          <w:rStyle w:val="Strong"/>
          <w:b w:val="0"/>
        </w:rPr>
        <w:t xml:space="preserve"> made by the attendant</w:t>
      </w:r>
      <w:r w:rsidR="0033535A">
        <w:rPr>
          <w:rStyle w:val="Strong"/>
          <w:b w:val="0"/>
        </w:rPr>
        <w:t>.</w:t>
      </w:r>
      <w:r w:rsidR="00F12B31">
        <w:rPr>
          <w:rStyle w:val="FootnoteReference"/>
          <w:rFonts w:ascii="Times New Roman" w:hAnsi="Times New Roman" w:cs="Times New Roman"/>
          <w:bCs/>
          <w:sz w:val="24"/>
          <w:szCs w:val="24"/>
        </w:rPr>
        <w:footnoteReference w:id="13"/>
      </w:r>
      <w:r w:rsidR="0033535A">
        <w:rPr>
          <w:rStyle w:val="Strong"/>
          <w:b w:val="0"/>
        </w:rPr>
        <w:t xml:space="preserve">  This constitutes a significant extension to the tests set out </w:t>
      </w:r>
      <w:r w:rsidR="0033535A">
        <w:rPr>
          <w:rStyle w:val="Strong"/>
          <w:b w:val="0"/>
          <w:i/>
        </w:rPr>
        <w:t>Suisse Atlantique</w:t>
      </w:r>
      <w:r w:rsidR="0033535A">
        <w:rPr>
          <w:rStyle w:val="Strong"/>
          <w:b w:val="0"/>
        </w:rPr>
        <w:t xml:space="preserve"> and </w:t>
      </w:r>
      <w:r w:rsidR="0033535A">
        <w:rPr>
          <w:rStyle w:val="Strong"/>
          <w:b w:val="0"/>
          <w:i/>
        </w:rPr>
        <w:t>Tor Lines</w:t>
      </w:r>
      <w:r w:rsidR="0033535A">
        <w:rPr>
          <w:rStyle w:val="Strong"/>
          <w:b w:val="0"/>
        </w:rPr>
        <w:t xml:space="preserve">, which require that the contract </w:t>
      </w:r>
      <w:r w:rsidR="0033535A">
        <w:rPr>
          <w:rStyle w:val="Strong"/>
          <w:b w:val="0"/>
          <w:i/>
        </w:rPr>
        <w:t>as a whole</w:t>
      </w:r>
      <w:r w:rsidR="0033535A">
        <w:rPr>
          <w:rStyle w:val="Strong"/>
          <w:b w:val="0"/>
        </w:rPr>
        <w:t xml:space="preserve"> be rendered a statement of intent.  It is submitted that, if this case were to reach the courts today, the better approach would be to interpret the exclusion clause as not covering loss caused by the deliberate or criminal acts of </w:t>
      </w:r>
      <w:r w:rsidR="0080425E">
        <w:rPr>
          <w:rStyle w:val="Strong"/>
          <w:b w:val="0"/>
        </w:rPr>
        <w:t>the garage’s</w:t>
      </w:r>
      <w:r w:rsidR="0033535A">
        <w:rPr>
          <w:rStyle w:val="Strong"/>
          <w:b w:val="0"/>
        </w:rPr>
        <w:t xml:space="preserve"> employees. </w:t>
      </w:r>
    </w:p>
    <w:p w:rsidR="00EF21BC" w:rsidRPr="0055429E" w:rsidRDefault="00F12B31" w:rsidP="0055429E">
      <w:pPr>
        <w:pStyle w:val="ListParagraph"/>
        <w:numPr>
          <w:ilvl w:val="1"/>
          <w:numId w:val="2"/>
        </w:numPr>
        <w:rPr>
          <w:rStyle w:val="Strong"/>
          <w:b w:val="0"/>
        </w:rPr>
      </w:pPr>
      <w:r>
        <w:rPr>
          <w:rStyle w:val="Strong"/>
          <w:b w:val="0"/>
        </w:rPr>
        <w:t>Another instructive decision is</w:t>
      </w:r>
      <w:r w:rsidR="00FB18AC">
        <w:rPr>
          <w:rStyle w:val="Strong"/>
          <w:b w:val="0"/>
        </w:rPr>
        <w:t xml:space="preserve"> </w:t>
      </w:r>
      <w:r w:rsidR="00FB18AC">
        <w:rPr>
          <w:rStyle w:val="Strong"/>
          <w:b w:val="0"/>
          <w:i/>
        </w:rPr>
        <w:t>Mitsubishi Corp v Eastwind</w:t>
      </w:r>
      <w:r>
        <w:rPr>
          <w:rStyle w:val="Strong"/>
          <w:b w:val="0"/>
        </w:rPr>
        <w:t>.</w:t>
      </w:r>
      <w:r w:rsidR="00AB2C47">
        <w:rPr>
          <w:rStyle w:val="FootnoteReference"/>
          <w:rFonts w:ascii="Times New Roman" w:hAnsi="Times New Roman" w:cs="Times New Roman"/>
          <w:bCs/>
          <w:sz w:val="24"/>
          <w:szCs w:val="24"/>
        </w:rPr>
        <w:footnoteReference w:id="14"/>
      </w:r>
      <w:r w:rsidR="00FB18AC">
        <w:rPr>
          <w:rStyle w:val="Strong"/>
          <w:b w:val="0"/>
        </w:rPr>
        <w:t xml:space="preserve"> </w:t>
      </w:r>
      <w:r>
        <w:rPr>
          <w:rStyle w:val="Strong"/>
          <w:b w:val="0"/>
        </w:rPr>
        <w:t xml:space="preserve"> In response to the defendant’s reliance on an exclusion clause, </w:t>
      </w:r>
      <w:r w:rsidR="00DC21DE">
        <w:rPr>
          <w:rStyle w:val="Strong"/>
          <w:b w:val="0"/>
        </w:rPr>
        <w:t>the claimant</w:t>
      </w:r>
      <w:r w:rsidR="00FB18AC">
        <w:rPr>
          <w:rStyle w:val="Strong"/>
          <w:b w:val="0"/>
        </w:rPr>
        <w:t xml:space="preserve"> </w:t>
      </w:r>
      <w:r>
        <w:rPr>
          <w:rStyle w:val="Strong"/>
          <w:b w:val="0"/>
        </w:rPr>
        <w:t xml:space="preserve">argued </w:t>
      </w:r>
      <w:r w:rsidR="00FB18AC">
        <w:rPr>
          <w:rStyle w:val="Strong"/>
          <w:b w:val="0"/>
        </w:rPr>
        <w:t xml:space="preserve">that the court should </w:t>
      </w:r>
      <w:r>
        <w:rPr>
          <w:rStyle w:val="Strong"/>
          <w:b w:val="0"/>
        </w:rPr>
        <w:t xml:space="preserve">the </w:t>
      </w:r>
      <w:r w:rsidR="00FB18AC">
        <w:rPr>
          <w:rStyle w:val="Strong"/>
          <w:b w:val="0"/>
        </w:rPr>
        <w:t xml:space="preserve">clause as widely as possible </w:t>
      </w:r>
      <w:r w:rsidR="00FB18AC">
        <w:rPr>
          <w:rStyle w:val="Strong"/>
          <w:b w:val="0"/>
          <w:i/>
        </w:rPr>
        <w:t xml:space="preserve">in order to </w:t>
      </w:r>
      <w:r w:rsidR="00FB18AC">
        <w:rPr>
          <w:rStyle w:val="Strong"/>
          <w:b w:val="0"/>
        </w:rPr>
        <w:t>find it repugnant</w:t>
      </w:r>
      <w:r w:rsidR="00DC21DE">
        <w:rPr>
          <w:rStyle w:val="Strong"/>
          <w:b w:val="0"/>
        </w:rPr>
        <w:t xml:space="preserve">.  This argument was </w:t>
      </w:r>
      <w:r>
        <w:rPr>
          <w:rStyle w:val="Strong"/>
          <w:b w:val="0"/>
        </w:rPr>
        <w:t>roundly</w:t>
      </w:r>
      <w:r w:rsidR="00DC21DE">
        <w:rPr>
          <w:rStyle w:val="Strong"/>
          <w:b w:val="0"/>
        </w:rPr>
        <w:t xml:space="preserve"> rejected</w:t>
      </w:r>
      <w:r w:rsidR="00CB2F02">
        <w:rPr>
          <w:rStyle w:val="Strong"/>
          <w:b w:val="0"/>
        </w:rPr>
        <w:t xml:space="preserve"> by the judge</w:t>
      </w:r>
      <w:r w:rsidR="00DC21DE">
        <w:rPr>
          <w:rStyle w:val="Strong"/>
          <w:b w:val="0"/>
        </w:rPr>
        <w:t xml:space="preserve">: but it demonstrates the </w:t>
      </w:r>
      <w:r w:rsidR="00727228">
        <w:rPr>
          <w:rStyle w:val="Strong"/>
          <w:b w:val="0"/>
        </w:rPr>
        <w:t>perverse results the repugnancy doctrine can sometimes have.</w:t>
      </w:r>
    </w:p>
    <w:p w:rsidR="00EF21BC" w:rsidRDefault="00DC21DE" w:rsidP="00A66490">
      <w:pPr>
        <w:pStyle w:val="ListParagraph"/>
        <w:numPr>
          <w:ilvl w:val="1"/>
          <w:numId w:val="2"/>
        </w:numPr>
        <w:rPr>
          <w:rStyle w:val="Strong"/>
          <w:b w:val="0"/>
        </w:rPr>
      </w:pPr>
      <w:r>
        <w:rPr>
          <w:rStyle w:val="Strong"/>
          <w:b w:val="0"/>
        </w:rPr>
        <w:t xml:space="preserve">Finally, in </w:t>
      </w:r>
      <w:r>
        <w:rPr>
          <w:rStyle w:val="Strong"/>
          <w:b w:val="0"/>
          <w:i/>
        </w:rPr>
        <w:t>Blackburn Rovers v Avon</w:t>
      </w:r>
      <w:r w:rsidR="00AB2C47" w:rsidRPr="00AB2C47">
        <w:rPr>
          <w:rStyle w:val="FootnoteReference"/>
          <w:rFonts w:ascii="Times New Roman" w:hAnsi="Times New Roman" w:cs="Times New Roman"/>
          <w:bCs/>
          <w:sz w:val="24"/>
          <w:szCs w:val="24"/>
        </w:rPr>
        <w:footnoteReference w:id="15"/>
      </w:r>
      <w:r w:rsidR="00AB2C47">
        <w:rPr>
          <w:rStyle w:val="Strong"/>
          <w:b w:val="0"/>
        </w:rPr>
        <w:t xml:space="preserve"> </w:t>
      </w:r>
      <w:r>
        <w:rPr>
          <w:rStyle w:val="Strong"/>
          <w:b w:val="0"/>
        </w:rPr>
        <w:t xml:space="preserve">Moore-Bick J considered an insurance policy taken out by Blackburn Rovers against the </w:t>
      </w:r>
      <w:r w:rsidR="00727228">
        <w:rPr>
          <w:rStyle w:val="Strong"/>
          <w:b w:val="0"/>
        </w:rPr>
        <w:t xml:space="preserve">risks of injury to its players.  </w:t>
      </w:r>
      <w:r>
        <w:rPr>
          <w:rStyle w:val="Strong"/>
          <w:b w:val="0"/>
        </w:rPr>
        <w:t xml:space="preserve">The policy excluded liability for </w:t>
      </w:r>
      <w:r w:rsidR="0020449B">
        <w:rPr>
          <w:rStyle w:val="Strong"/>
          <w:b w:val="0"/>
        </w:rPr>
        <w:t xml:space="preserve">injury ‘directly or indirectly resulting from or consequent upon’ degenerative conditions in bones. </w:t>
      </w:r>
      <w:r w:rsidR="00727228">
        <w:rPr>
          <w:rStyle w:val="Strong"/>
          <w:b w:val="0"/>
        </w:rPr>
        <w:t xml:space="preserve"> </w:t>
      </w:r>
      <w:r w:rsidR="0020449B">
        <w:rPr>
          <w:rStyle w:val="Strong"/>
          <w:b w:val="0"/>
        </w:rPr>
        <w:t xml:space="preserve">The agreed facts were that the injured footballer suffered from a degenerative condition which was very common among people of his age and profession.  Moore-Bick J held (at [29]) that to exclude a claim in this situation would be a ‘serious derogation from the cover’, and (with the repugnancy doctrine at the forefront of his reasoning) construed the </w:t>
      </w:r>
      <w:r w:rsidR="00951AAC">
        <w:rPr>
          <w:rStyle w:val="Strong"/>
          <w:b w:val="0"/>
        </w:rPr>
        <w:t xml:space="preserve">clause </w:t>
      </w:r>
      <w:r w:rsidR="0020449B">
        <w:rPr>
          <w:rStyle w:val="Strong"/>
          <w:b w:val="0"/>
        </w:rPr>
        <w:t xml:space="preserve">as not </w:t>
      </w:r>
      <w:r w:rsidR="00BF3129">
        <w:rPr>
          <w:rStyle w:val="Strong"/>
          <w:b w:val="0"/>
        </w:rPr>
        <w:t>extending to</w:t>
      </w:r>
      <w:r w:rsidR="0020449B">
        <w:rPr>
          <w:rStyle w:val="Strong"/>
          <w:b w:val="0"/>
        </w:rPr>
        <w:t xml:space="preserve"> </w:t>
      </w:r>
      <w:r w:rsidR="00EA7452">
        <w:rPr>
          <w:rStyle w:val="Strong"/>
          <w:b w:val="0"/>
        </w:rPr>
        <w:t xml:space="preserve">‘normal’ </w:t>
      </w:r>
      <w:r w:rsidR="0020449B">
        <w:rPr>
          <w:rStyle w:val="Strong"/>
          <w:b w:val="0"/>
        </w:rPr>
        <w:t>degenerative conditions.</w:t>
      </w:r>
    </w:p>
    <w:p w:rsidR="0020449B" w:rsidRPr="00D22DF1" w:rsidRDefault="00801560" w:rsidP="00A66490">
      <w:pPr>
        <w:pStyle w:val="ListParagraph"/>
        <w:numPr>
          <w:ilvl w:val="1"/>
          <w:numId w:val="2"/>
        </w:numPr>
        <w:rPr>
          <w:rStyle w:val="Strong"/>
          <w:b w:val="0"/>
        </w:rPr>
      </w:pPr>
      <w:r>
        <w:rPr>
          <w:rStyle w:val="Strong"/>
          <w:b w:val="0"/>
        </w:rPr>
        <w:t>It is submitted that</w:t>
      </w:r>
      <w:r w:rsidR="00951AAC">
        <w:rPr>
          <w:rStyle w:val="Strong"/>
          <w:b w:val="0"/>
        </w:rPr>
        <w:t xml:space="preserve"> this analysis was flawed</w:t>
      </w:r>
      <w:r>
        <w:rPr>
          <w:rStyle w:val="Strong"/>
          <w:b w:val="0"/>
        </w:rPr>
        <w:t>. If it was very common for degenerative conditions to cause injuries</w:t>
      </w:r>
      <w:r w:rsidR="000F0FF4">
        <w:rPr>
          <w:rStyle w:val="Strong"/>
          <w:b w:val="0"/>
        </w:rPr>
        <w:t xml:space="preserve"> in footballers</w:t>
      </w:r>
      <w:r>
        <w:rPr>
          <w:rStyle w:val="Strong"/>
          <w:b w:val="0"/>
        </w:rPr>
        <w:t xml:space="preserve">, it made perfect sense for the insurer to exclude </w:t>
      </w:r>
      <w:r w:rsidR="000F0FF4">
        <w:rPr>
          <w:rStyle w:val="Strong"/>
          <w:b w:val="0"/>
        </w:rPr>
        <w:t xml:space="preserve">its </w:t>
      </w:r>
      <w:r w:rsidR="00C36F3A">
        <w:rPr>
          <w:rStyle w:val="Strong"/>
          <w:b w:val="0"/>
        </w:rPr>
        <w:t>liability for them: it should not be taken to be underwriting risks that occurred with a high degree of frequency.</w:t>
      </w:r>
      <w:r w:rsidR="00951AAC">
        <w:rPr>
          <w:rStyle w:val="FootnoteReference"/>
          <w:rFonts w:ascii="Times New Roman" w:hAnsi="Times New Roman" w:cs="Times New Roman"/>
          <w:bCs/>
          <w:sz w:val="24"/>
          <w:szCs w:val="24"/>
        </w:rPr>
        <w:footnoteReference w:id="16"/>
      </w:r>
      <w:r w:rsidR="00951AAC">
        <w:rPr>
          <w:rStyle w:val="Strong"/>
          <w:b w:val="0"/>
        </w:rPr>
        <w:t xml:space="preserve">  Moore-Bick J’s focus on the repugnancy doctrine obscured what should have been an analysis of the purpose of the clause and commercial common sense.</w:t>
      </w:r>
    </w:p>
    <w:p w:rsidR="00815AE1" w:rsidRDefault="000558D3" w:rsidP="0052283B">
      <w:pPr>
        <w:pStyle w:val="ListParagraph"/>
        <w:rPr>
          <w:rStyle w:val="Strong"/>
          <w:b w:val="0"/>
        </w:rPr>
      </w:pPr>
      <w:r>
        <w:rPr>
          <w:rStyle w:val="Strong"/>
          <w:b w:val="0"/>
        </w:rPr>
        <w:lastRenderedPageBreak/>
        <w:t xml:space="preserve">Fourth, the repugnancy doctrine is </w:t>
      </w:r>
      <w:r w:rsidRPr="000558D3">
        <w:rPr>
          <w:rStyle w:val="Strong"/>
          <w:i/>
        </w:rPr>
        <w:t>u</w:t>
      </w:r>
      <w:r w:rsidR="00EF21BC" w:rsidRPr="000558D3">
        <w:rPr>
          <w:rStyle w:val="Strong"/>
          <w:i/>
        </w:rPr>
        <w:t>nnecessary</w:t>
      </w:r>
      <w:r>
        <w:rPr>
          <w:rStyle w:val="Strong"/>
          <w:b w:val="0"/>
        </w:rPr>
        <w:t xml:space="preserve">.  </w:t>
      </w:r>
      <w:r w:rsidR="00815AE1">
        <w:rPr>
          <w:rStyle w:val="Strong"/>
          <w:b w:val="0"/>
        </w:rPr>
        <w:t xml:space="preserve">Principles of contractual interpretation have now developed to </w:t>
      </w:r>
      <w:r w:rsidR="00D0530D">
        <w:rPr>
          <w:rStyle w:val="Strong"/>
          <w:b w:val="0"/>
        </w:rPr>
        <w:t>cover</w:t>
      </w:r>
      <w:r w:rsidR="00815AE1">
        <w:rPr>
          <w:rStyle w:val="Strong"/>
          <w:b w:val="0"/>
        </w:rPr>
        <w:t xml:space="preserve"> almost entirely the space previously filled by the repugnancy doctrine:</w:t>
      </w:r>
    </w:p>
    <w:p w:rsidR="00821C0C" w:rsidRPr="0052283B" w:rsidRDefault="00C90753" w:rsidP="00815AE1">
      <w:pPr>
        <w:pStyle w:val="ListParagraph"/>
        <w:numPr>
          <w:ilvl w:val="1"/>
          <w:numId w:val="2"/>
        </w:numPr>
        <w:rPr>
          <w:rStyle w:val="Strong"/>
          <w:b w:val="0"/>
        </w:rPr>
      </w:pPr>
      <w:r>
        <w:rPr>
          <w:rStyle w:val="Strong"/>
          <w:b w:val="0"/>
        </w:rPr>
        <w:t>Where an exclusion clause can be interpreted in a number of ways, a court is entitled to accept the meaning which is more consistent with business common sense (</w:t>
      </w:r>
      <w:r w:rsidR="00951AAC">
        <w:rPr>
          <w:rStyle w:val="Strong"/>
          <w:b w:val="0"/>
        </w:rPr>
        <w:t xml:space="preserve">see, for example, </w:t>
      </w:r>
      <w:r>
        <w:rPr>
          <w:rStyle w:val="Strong"/>
          <w:b w:val="0"/>
          <w:i/>
        </w:rPr>
        <w:t>Rainy Sky</w:t>
      </w:r>
      <w:r w:rsidR="003201B0">
        <w:rPr>
          <w:rStyle w:val="Strong"/>
          <w:b w:val="0"/>
          <w:i/>
        </w:rPr>
        <w:t xml:space="preserve"> v Kookmin Bank</w:t>
      </w:r>
      <w:r w:rsidR="003201B0" w:rsidRPr="003201B0">
        <w:rPr>
          <w:rStyle w:val="FootnoteReference"/>
          <w:rFonts w:ascii="Times New Roman" w:hAnsi="Times New Roman" w:cs="Times New Roman"/>
          <w:bCs/>
          <w:sz w:val="24"/>
          <w:szCs w:val="24"/>
        </w:rPr>
        <w:footnoteReference w:id="17"/>
      </w:r>
      <w:r>
        <w:rPr>
          <w:rStyle w:val="Strong"/>
          <w:b w:val="0"/>
        </w:rPr>
        <w:t xml:space="preserve">).  In most – if not all – cases this would </w:t>
      </w:r>
      <w:r w:rsidR="00951AAC">
        <w:rPr>
          <w:rStyle w:val="Strong"/>
          <w:b w:val="0"/>
        </w:rPr>
        <w:t>lead to</w:t>
      </w:r>
      <w:r>
        <w:rPr>
          <w:rStyle w:val="Strong"/>
          <w:b w:val="0"/>
        </w:rPr>
        <w:t xml:space="preserve"> the rejection </w:t>
      </w:r>
      <w:r w:rsidR="00815AE1">
        <w:rPr>
          <w:rStyle w:val="Strong"/>
          <w:b w:val="0"/>
        </w:rPr>
        <w:t>of an ‘extreme’ interpretation of a clause r</w:t>
      </w:r>
      <w:r>
        <w:rPr>
          <w:rStyle w:val="Strong"/>
          <w:b w:val="0"/>
        </w:rPr>
        <w:t>endering one party’s obligations illusory, in favour of an interpretation which would give those obli</w:t>
      </w:r>
      <w:r w:rsidR="002C12E7">
        <w:rPr>
          <w:rStyle w:val="Strong"/>
          <w:b w:val="0"/>
        </w:rPr>
        <w:t>gations some contractual force.</w:t>
      </w:r>
      <w:r w:rsidR="0052283B">
        <w:rPr>
          <w:rStyle w:val="Strong"/>
          <w:b w:val="0"/>
        </w:rPr>
        <w:t xml:space="preserve">  </w:t>
      </w:r>
      <w:r w:rsidR="00821C0C" w:rsidRPr="0052283B">
        <w:rPr>
          <w:rStyle w:val="Strong"/>
          <w:b w:val="0"/>
        </w:rPr>
        <w:t xml:space="preserve">Indeed, most of the </w:t>
      </w:r>
      <w:r w:rsidR="00815AE1">
        <w:rPr>
          <w:rStyle w:val="Strong"/>
          <w:b w:val="0"/>
        </w:rPr>
        <w:t xml:space="preserve">decided </w:t>
      </w:r>
      <w:r w:rsidR="00821C0C" w:rsidRPr="0052283B">
        <w:rPr>
          <w:rStyle w:val="Strong"/>
          <w:b w:val="0"/>
        </w:rPr>
        <w:t xml:space="preserve">cases which apply the repugnancy doctrine would now be easily explained by reference to </w:t>
      </w:r>
      <w:r w:rsidR="008C1032">
        <w:rPr>
          <w:rStyle w:val="Strong"/>
          <w:b w:val="0"/>
        </w:rPr>
        <w:t>this principle of commercial common sense.</w:t>
      </w:r>
    </w:p>
    <w:p w:rsidR="00FE25D4" w:rsidRDefault="00FE25D4" w:rsidP="00815AE1">
      <w:pPr>
        <w:pStyle w:val="ListParagraph"/>
        <w:numPr>
          <w:ilvl w:val="1"/>
          <w:numId w:val="2"/>
        </w:numPr>
        <w:rPr>
          <w:rStyle w:val="Strong"/>
          <w:b w:val="0"/>
        </w:rPr>
      </w:pPr>
      <w:r>
        <w:rPr>
          <w:rStyle w:val="Strong"/>
          <w:b w:val="0"/>
        </w:rPr>
        <w:t>Another principle is that c</w:t>
      </w:r>
      <w:r w:rsidR="009006C8">
        <w:rPr>
          <w:rStyle w:val="Strong"/>
          <w:b w:val="0"/>
        </w:rPr>
        <w:t xml:space="preserve">ourts tend to insist on very clear language </w:t>
      </w:r>
      <w:r w:rsidR="00890485">
        <w:rPr>
          <w:rStyle w:val="Strong"/>
          <w:b w:val="0"/>
        </w:rPr>
        <w:t xml:space="preserve">before </w:t>
      </w:r>
      <w:r w:rsidR="004D3FD2">
        <w:rPr>
          <w:rStyle w:val="Strong"/>
          <w:b w:val="0"/>
        </w:rPr>
        <w:t xml:space="preserve">interpreting </w:t>
      </w:r>
      <w:r w:rsidR="00890485">
        <w:rPr>
          <w:rStyle w:val="Strong"/>
          <w:b w:val="0"/>
        </w:rPr>
        <w:t xml:space="preserve">clauses </w:t>
      </w:r>
      <w:r w:rsidR="004D3FD2">
        <w:rPr>
          <w:rStyle w:val="Strong"/>
          <w:b w:val="0"/>
        </w:rPr>
        <w:t xml:space="preserve">in such a way so as to </w:t>
      </w:r>
      <w:r w:rsidR="00890485">
        <w:rPr>
          <w:rStyle w:val="Strong"/>
          <w:b w:val="0"/>
        </w:rPr>
        <w:t>exclude liability for</w:t>
      </w:r>
      <w:r w:rsidR="00900251">
        <w:rPr>
          <w:rStyle w:val="Strong"/>
          <w:b w:val="0"/>
        </w:rPr>
        <w:t xml:space="preserve"> what might be described as</w:t>
      </w:r>
      <w:r w:rsidR="00890485">
        <w:rPr>
          <w:rStyle w:val="Strong"/>
          <w:b w:val="0"/>
        </w:rPr>
        <w:t xml:space="preserve"> </w:t>
      </w:r>
      <w:r w:rsidR="00900251">
        <w:rPr>
          <w:rStyle w:val="Strong"/>
          <w:b w:val="0"/>
        </w:rPr>
        <w:t>‘</w:t>
      </w:r>
      <w:r w:rsidR="00890485">
        <w:rPr>
          <w:rStyle w:val="Strong"/>
          <w:b w:val="0"/>
        </w:rPr>
        <w:t>extreme</w:t>
      </w:r>
      <w:r w:rsidR="00900251">
        <w:rPr>
          <w:rStyle w:val="Strong"/>
          <w:b w:val="0"/>
        </w:rPr>
        <w:t>’</w:t>
      </w:r>
      <w:r w:rsidR="00890485">
        <w:rPr>
          <w:rStyle w:val="Strong"/>
          <w:b w:val="0"/>
        </w:rPr>
        <w:t xml:space="preserve"> breaches</w:t>
      </w:r>
      <w:r w:rsidR="0052283B">
        <w:rPr>
          <w:rStyle w:val="Strong"/>
          <w:b w:val="0"/>
        </w:rPr>
        <w:t xml:space="preserve"> of contract</w:t>
      </w:r>
      <w:r w:rsidR="00890485">
        <w:rPr>
          <w:rStyle w:val="Strong"/>
          <w:b w:val="0"/>
        </w:rPr>
        <w:t xml:space="preserve">.  This means that, even where a clause excludes liability for loss ‘of any kind whatsoever… however caused’, it </w:t>
      </w:r>
      <w:r w:rsidR="00D51EFE">
        <w:rPr>
          <w:rStyle w:val="Strong"/>
          <w:b w:val="0"/>
        </w:rPr>
        <w:t xml:space="preserve">may </w:t>
      </w:r>
      <w:r w:rsidR="00FC1E79">
        <w:rPr>
          <w:rStyle w:val="Strong"/>
          <w:b w:val="0"/>
        </w:rPr>
        <w:t>be interpreted</w:t>
      </w:r>
      <w:r w:rsidR="00890485">
        <w:rPr>
          <w:rStyle w:val="Strong"/>
          <w:b w:val="0"/>
        </w:rPr>
        <w:t xml:space="preserve"> not </w:t>
      </w:r>
      <w:r w:rsidR="00FC1E79">
        <w:rPr>
          <w:rStyle w:val="Strong"/>
          <w:b w:val="0"/>
        </w:rPr>
        <w:t xml:space="preserve">to </w:t>
      </w:r>
      <w:r w:rsidR="00890485">
        <w:rPr>
          <w:rStyle w:val="Strong"/>
          <w:b w:val="0"/>
        </w:rPr>
        <w:t>cover losses caused by dishonesty (</w:t>
      </w:r>
      <w:r w:rsidR="00D51EFE">
        <w:rPr>
          <w:rStyle w:val="Strong"/>
          <w:b w:val="0"/>
        </w:rPr>
        <w:t xml:space="preserve">as in the </w:t>
      </w:r>
      <w:r w:rsidR="00890485">
        <w:rPr>
          <w:rStyle w:val="Strong"/>
          <w:b w:val="0"/>
          <w:i/>
        </w:rPr>
        <w:t>Mitsubishi</w:t>
      </w:r>
      <w:r w:rsidR="00D51EFE">
        <w:rPr>
          <w:rStyle w:val="Strong"/>
          <w:b w:val="0"/>
        </w:rPr>
        <w:t xml:space="preserve"> case referred to above</w:t>
      </w:r>
      <w:r w:rsidR="00890485">
        <w:rPr>
          <w:rStyle w:val="Strong"/>
          <w:b w:val="0"/>
        </w:rPr>
        <w:t>).</w:t>
      </w:r>
    </w:p>
    <w:p w:rsidR="00815AE1" w:rsidRPr="00FE25D4" w:rsidRDefault="00367057" w:rsidP="00FE25D4">
      <w:pPr>
        <w:pStyle w:val="ListParagraph"/>
        <w:numPr>
          <w:ilvl w:val="1"/>
          <w:numId w:val="2"/>
        </w:numPr>
        <w:rPr>
          <w:rStyle w:val="Strong"/>
          <w:b w:val="0"/>
        </w:rPr>
      </w:pPr>
      <w:r>
        <w:rPr>
          <w:rStyle w:val="Strong"/>
          <w:b w:val="0"/>
        </w:rPr>
        <w:t xml:space="preserve">An overlapping </w:t>
      </w:r>
      <w:r w:rsidR="005C46EC">
        <w:rPr>
          <w:rStyle w:val="Strong"/>
          <w:b w:val="0"/>
        </w:rPr>
        <w:t xml:space="preserve">principle </w:t>
      </w:r>
      <w:r>
        <w:rPr>
          <w:rStyle w:val="Strong"/>
          <w:b w:val="0"/>
        </w:rPr>
        <w:t xml:space="preserve">is </w:t>
      </w:r>
      <w:r w:rsidR="005C46EC">
        <w:rPr>
          <w:rStyle w:val="Strong"/>
          <w:b w:val="0"/>
        </w:rPr>
        <w:t>that neither party to a contract is presumed to abandon remedies it w</w:t>
      </w:r>
      <w:r w:rsidR="00102A2F">
        <w:rPr>
          <w:rStyle w:val="Strong"/>
          <w:b w:val="0"/>
        </w:rPr>
        <w:t xml:space="preserve">ould have by operation of law.  </w:t>
      </w:r>
      <w:r w:rsidR="00216E39">
        <w:rPr>
          <w:rStyle w:val="Strong"/>
          <w:b w:val="0"/>
        </w:rPr>
        <w:t xml:space="preserve">A court would therefore be unlikely to interpret an </w:t>
      </w:r>
      <w:r w:rsidR="00102A2F">
        <w:rPr>
          <w:rStyle w:val="Strong"/>
          <w:b w:val="0"/>
        </w:rPr>
        <w:t xml:space="preserve">exclusion clause </w:t>
      </w:r>
      <w:r w:rsidR="00216E39">
        <w:rPr>
          <w:rStyle w:val="Strong"/>
          <w:b w:val="0"/>
        </w:rPr>
        <w:t xml:space="preserve">in such a way </w:t>
      </w:r>
      <w:r w:rsidR="00102A2F">
        <w:rPr>
          <w:rStyle w:val="Strong"/>
          <w:b w:val="0"/>
        </w:rPr>
        <w:t xml:space="preserve">as to deprive </w:t>
      </w:r>
      <w:r w:rsidR="006E4AD9">
        <w:rPr>
          <w:rStyle w:val="Strong"/>
          <w:b w:val="0"/>
        </w:rPr>
        <w:t xml:space="preserve">one </w:t>
      </w:r>
      <w:r w:rsidR="00102A2F">
        <w:rPr>
          <w:rStyle w:val="Strong"/>
          <w:b w:val="0"/>
        </w:rPr>
        <w:t>party of such remedies.</w:t>
      </w:r>
    </w:p>
    <w:p w:rsidR="00F667F8" w:rsidRDefault="0035424F" w:rsidP="00815AE1">
      <w:pPr>
        <w:pStyle w:val="ListParagraph"/>
        <w:numPr>
          <w:ilvl w:val="1"/>
          <w:numId w:val="2"/>
        </w:numPr>
        <w:rPr>
          <w:rStyle w:val="Strong"/>
          <w:b w:val="0"/>
        </w:rPr>
      </w:pPr>
      <w:r>
        <w:rPr>
          <w:rStyle w:val="Strong"/>
          <w:b w:val="0"/>
        </w:rPr>
        <w:t>Courts can also interpret clauses in subtler ways.  W</w:t>
      </w:r>
      <w:r w:rsidR="00A144B5">
        <w:rPr>
          <w:rStyle w:val="Strong"/>
          <w:b w:val="0"/>
        </w:rPr>
        <w:t>here a term</w:t>
      </w:r>
      <w:r w:rsidR="00F667F8">
        <w:rPr>
          <w:rStyle w:val="Strong"/>
          <w:b w:val="0"/>
        </w:rPr>
        <w:t xml:space="preserve"> states that a company ‘shall have no liability whatsoever in contract, tort (including negligence) or otherwise’, that may be limited to liability arising from defective </w:t>
      </w:r>
      <w:r w:rsidR="00F667F8" w:rsidRPr="009A7EFD">
        <w:rPr>
          <w:rStyle w:val="Strong"/>
          <w:b w:val="0"/>
          <w:i/>
        </w:rPr>
        <w:t>performance</w:t>
      </w:r>
      <w:r w:rsidR="00F667F8">
        <w:rPr>
          <w:rStyle w:val="Strong"/>
          <w:b w:val="0"/>
        </w:rPr>
        <w:t xml:space="preserve"> of the agreement, rather than an outright </w:t>
      </w:r>
      <w:r w:rsidR="00F667F8" w:rsidRPr="009A7EFD">
        <w:rPr>
          <w:rStyle w:val="Strong"/>
          <w:b w:val="0"/>
          <w:i/>
        </w:rPr>
        <w:t>refusal</w:t>
      </w:r>
      <w:r w:rsidR="00F667F8">
        <w:rPr>
          <w:rStyle w:val="Strong"/>
          <w:b w:val="0"/>
        </w:rPr>
        <w:t xml:space="preserve"> to perform the agreement at all.</w:t>
      </w:r>
      <w:r w:rsidR="00AB2C47">
        <w:rPr>
          <w:rStyle w:val="FootnoteReference"/>
          <w:rFonts w:ascii="Times New Roman" w:hAnsi="Times New Roman" w:cs="Times New Roman"/>
          <w:bCs/>
          <w:sz w:val="24"/>
          <w:szCs w:val="24"/>
        </w:rPr>
        <w:footnoteReference w:id="18"/>
      </w:r>
    </w:p>
    <w:p w:rsidR="00C90753" w:rsidRPr="005C46EC" w:rsidRDefault="00796D77" w:rsidP="005C46EC">
      <w:pPr>
        <w:pStyle w:val="ListParagraph"/>
        <w:rPr>
          <w:rStyle w:val="Strong"/>
          <w:b w:val="0"/>
        </w:rPr>
      </w:pPr>
      <w:r w:rsidRPr="005C46EC">
        <w:rPr>
          <w:rStyle w:val="Strong"/>
          <w:b w:val="0"/>
        </w:rPr>
        <w:t xml:space="preserve">Accordingly, </w:t>
      </w:r>
      <w:r w:rsidR="000F035C">
        <w:rPr>
          <w:rStyle w:val="Strong"/>
          <w:b w:val="0"/>
        </w:rPr>
        <w:t xml:space="preserve">courts </w:t>
      </w:r>
      <w:r w:rsidRPr="005C46EC">
        <w:rPr>
          <w:rStyle w:val="Strong"/>
          <w:b w:val="0"/>
        </w:rPr>
        <w:t xml:space="preserve">can deal with the problems </w:t>
      </w:r>
      <w:r w:rsidR="00F667F8">
        <w:rPr>
          <w:rStyle w:val="Strong"/>
          <w:b w:val="0"/>
        </w:rPr>
        <w:t xml:space="preserve">previously </w:t>
      </w:r>
      <w:r w:rsidRPr="005C46EC">
        <w:rPr>
          <w:rStyle w:val="Strong"/>
          <w:b w:val="0"/>
        </w:rPr>
        <w:t xml:space="preserve">solved by the doctrine of repugnancy </w:t>
      </w:r>
      <w:r w:rsidR="009B705F">
        <w:rPr>
          <w:rStyle w:val="Strong"/>
          <w:b w:val="0"/>
        </w:rPr>
        <w:t>by</w:t>
      </w:r>
      <w:r w:rsidRPr="005C46EC">
        <w:rPr>
          <w:rStyle w:val="Strong"/>
          <w:b w:val="0"/>
        </w:rPr>
        <w:t xml:space="preserve"> </w:t>
      </w:r>
      <w:r w:rsidR="00982B08">
        <w:rPr>
          <w:rStyle w:val="Strong"/>
          <w:b w:val="0"/>
        </w:rPr>
        <w:t>applying the modern</w:t>
      </w:r>
      <w:r w:rsidR="00F667F8">
        <w:rPr>
          <w:rStyle w:val="Strong"/>
          <w:b w:val="0"/>
        </w:rPr>
        <w:t xml:space="preserve"> approach to </w:t>
      </w:r>
      <w:r w:rsidRPr="005C46EC">
        <w:rPr>
          <w:rStyle w:val="Strong"/>
          <w:b w:val="0"/>
        </w:rPr>
        <w:t>contractual interpretation.</w:t>
      </w:r>
    </w:p>
    <w:p w:rsidR="00EF21BC" w:rsidRDefault="00A26424" w:rsidP="00644369">
      <w:pPr>
        <w:pStyle w:val="ListParagraph"/>
        <w:rPr>
          <w:rStyle w:val="Strong"/>
          <w:b w:val="0"/>
        </w:rPr>
      </w:pPr>
      <w:r>
        <w:rPr>
          <w:rStyle w:val="Strong"/>
          <w:b w:val="0"/>
        </w:rPr>
        <w:t xml:space="preserve">Other areas of law have also developed.  </w:t>
      </w:r>
      <w:r w:rsidR="000558D3">
        <w:rPr>
          <w:rStyle w:val="Strong"/>
          <w:b w:val="0"/>
        </w:rPr>
        <w:t xml:space="preserve">Lord Wilberforce’s speech in </w:t>
      </w:r>
      <w:r w:rsidR="000558D3">
        <w:rPr>
          <w:rStyle w:val="Strong"/>
          <w:b w:val="0"/>
          <w:i/>
        </w:rPr>
        <w:t>Suisse Atlantique</w:t>
      </w:r>
      <w:r w:rsidR="000558D3">
        <w:rPr>
          <w:rStyle w:val="Strong"/>
          <w:b w:val="0"/>
        </w:rPr>
        <w:t xml:space="preserve"> was given before the Unfair Cont</w:t>
      </w:r>
      <w:r w:rsidR="002C12E7">
        <w:rPr>
          <w:rStyle w:val="Strong"/>
          <w:b w:val="0"/>
        </w:rPr>
        <w:t xml:space="preserve">ract Terms Act 1977. </w:t>
      </w:r>
      <w:r w:rsidR="002B0EF3">
        <w:rPr>
          <w:rStyle w:val="Strong"/>
          <w:b w:val="0"/>
        </w:rPr>
        <w:t xml:space="preserve"> </w:t>
      </w:r>
      <w:r w:rsidR="009670D3">
        <w:rPr>
          <w:rStyle w:val="Strong"/>
          <w:b w:val="0"/>
        </w:rPr>
        <w:t xml:space="preserve">That Act </w:t>
      </w:r>
      <w:r w:rsidR="00182AEF">
        <w:rPr>
          <w:rStyle w:val="Strong"/>
          <w:b w:val="0"/>
        </w:rPr>
        <w:t>reduced the need for court</w:t>
      </w:r>
      <w:r w:rsidR="00F05B94">
        <w:rPr>
          <w:rStyle w:val="Strong"/>
          <w:b w:val="0"/>
        </w:rPr>
        <w:t>s</w:t>
      </w:r>
      <w:r w:rsidR="00182AEF">
        <w:rPr>
          <w:rStyle w:val="Strong"/>
          <w:b w:val="0"/>
        </w:rPr>
        <w:t xml:space="preserve"> to retain a residual discretion to reject ‘repugnant’ clauses</w:t>
      </w:r>
      <w:r w:rsidR="00C122C2">
        <w:rPr>
          <w:rStyle w:val="Strong"/>
          <w:b w:val="0"/>
        </w:rPr>
        <w:t>, at least</w:t>
      </w:r>
      <w:r w:rsidR="00C550B7">
        <w:rPr>
          <w:rStyle w:val="Strong"/>
          <w:b w:val="0"/>
        </w:rPr>
        <w:t xml:space="preserve"> in cases within </w:t>
      </w:r>
      <w:r w:rsidR="0051799B">
        <w:rPr>
          <w:rStyle w:val="Strong"/>
          <w:b w:val="0"/>
        </w:rPr>
        <w:lastRenderedPageBreak/>
        <w:t xml:space="preserve">the Act’s </w:t>
      </w:r>
      <w:r w:rsidR="00C550B7">
        <w:rPr>
          <w:rStyle w:val="Strong"/>
          <w:b w:val="0"/>
        </w:rPr>
        <w:t>scope</w:t>
      </w:r>
      <w:r w:rsidR="004B0D05">
        <w:rPr>
          <w:rStyle w:val="Strong"/>
          <w:b w:val="0"/>
        </w:rPr>
        <w:t xml:space="preserve">.  Further protections became available in the </w:t>
      </w:r>
      <w:r w:rsidR="009670D3">
        <w:rPr>
          <w:rStyle w:val="Strong"/>
          <w:b w:val="0"/>
        </w:rPr>
        <w:t>Unfair Terms in Consumer Contracts Regulations 1999</w:t>
      </w:r>
      <w:r w:rsidR="004B0D05">
        <w:rPr>
          <w:rStyle w:val="Strong"/>
          <w:b w:val="0"/>
        </w:rPr>
        <w:t xml:space="preserve"> </w:t>
      </w:r>
      <w:r w:rsidR="006029BC">
        <w:rPr>
          <w:rStyle w:val="Strong"/>
          <w:b w:val="0"/>
        </w:rPr>
        <w:t>(</w:t>
      </w:r>
      <w:r w:rsidR="00B84A57">
        <w:rPr>
          <w:rStyle w:val="Strong"/>
          <w:b w:val="0"/>
        </w:rPr>
        <w:t xml:space="preserve">protections </w:t>
      </w:r>
      <w:r w:rsidR="004B0D05">
        <w:rPr>
          <w:rStyle w:val="Strong"/>
          <w:b w:val="0"/>
        </w:rPr>
        <w:t xml:space="preserve">which, </w:t>
      </w:r>
      <w:r w:rsidR="00645F74">
        <w:rPr>
          <w:rStyle w:val="Strong"/>
          <w:b w:val="0"/>
        </w:rPr>
        <w:t xml:space="preserve">together </w:t>
      </w:r>
      <w:r w:rsidR="004B0D05">
        <w:rPr>
          <w:rStyle w:val="Strong"/>
          <w:b w:val="0"/>
        </w:rPr>
        <w:t xml:space="preserve">with UCTA 1977, </w:t>
      </w:r>
      <w:r w:rsidR="00645F74">
        <w:rPr>
          <w:rStyle w:val="Strong"/>
          <w:b w:val="0"/>
        </w:rPr>
        <w:t xml:space="preserve">have </w:t>
      </w:r>
      <w:r w:rsidR="006029BC">
        <w:rPr>
          <w:rStyle w:val="Strong"/>
          <w:b w:val="0"/>
        </w:rPr>
        <w:t xml:space="preserve">now </w:t>
      </w:r>
      <w:r w:rsidR="009670D3">
        <w:rPr>
          <w:rStyle w:val="Strong"/>
          <w:b w:val="0"/>
        </w:rPr>
        <w:t xml:space="preserve">been re-enacted in the </w:t>
      </w:r>
      <w:r w:rsidR="000558D3">
        <w:rPr>
          <w:rStyle w:val="Strong"/>
          <w:b w:val="0"/>
        </w:rPr>
        <w:t>Consumer Rights Act 2015</w:t>
      </w:r>
      <w:r w:rsidR="006029BC">
        <w:rPr>
          <w:rStyle w:val="Strong"/>
          <w:b w:val="0"/>
        </w:rPr>
        <w:t>)</w:t>
      </w:r>
      <w:r w:rsidR="004B0D05">
        <w:rPr>
          <w:rStyle w:val="Strong"/>
          <w:b w:val="0"/>
        </w:rPr>
        <w:t>.</w:t>
      </w:r>
    </w:p>
    <w:p w:rsidR="00374D2A" w:rsidRDefault="004B0D05" w:rsidP="00FE2A22">
      <w:pPr>
        <w:pStyle w:val="ListParagraph"/>
        <w:rPr>
          <w:rStyle w:val="Strong"/>
          <w:b w:val="0"/>
        </w:rPr>
      </w:pPr>
      <w:r>
        <w:rPr>
          <w:rStyle w:val="Strong"/>
          <w:b w:val="0"/>
        </w:rPr>
        <w:t xml:space="preserve">The law is likely to </w:t>
      </w:r>
      <w:r w:rsidR="009D1FE0">
        <w:rPr>
          <w:rStyle w:val="Strong"/>
          <w:b w:val="0"/>
        </w:rPr>
        <w:t xml:space="preserve">continue </w:t>
      </w:r>
      <w:r w:rsidR="003C677E">
        <w:rPr>
          <w:rStyle w:val="Strong"/>
          <w:b w:val="0"/>
        </w:rPr>
        <w:t xml:space="preserve">to </w:t>
      </w:r>
      <w:r>
        <w:rPr>
          <w:rStyle w:val="Strong"/>
          <w:b w:val="0"/>
        </w:rPr>
        <w:t xml:space="preserve">develop further.  The repugnancy doctrine is often relied on in the insurance context, </w:t>
      </w:r>
      <w:r w:rsidR="000B112B">
        <w:rPr>
          <w:rStyle w:val="Strong"/>
          <w:b w:val="0"/>
        </w:rPr>
        <w:t xml:space="preserve">in general </w:t>
      </w:r>
      <w:r>
        <w:rPr>
          <w:rStyle w:val="Strong"/>
          <w:b w:val="0"/>
        </w:rPr>
        <w:t>by assureds who argue that an exclusion clause deprives the policy of substantially all its contractual force.  The introduction of the principle of ‘good faith’ into this area of law by the Insurance Act 2015 may, potentially, exten</w:t>
      </w:r>
      <w:r w:rsidR="00DB3F5B">
        <w:rPr>
          <w:rStyle w:val="Strong"/>
          <w:b w:val="0"/>
        </w:rPr>
        <w:t>d as far as exclusion clauses.  I</w:t>
      </w:r>
      <w:r>
        <w:rPr>
          <w:rStyle w:val="Strong"/>
          <w:b w:val="0"/>
        </w:rPr>
        <w:t xml:space="preserve">t could be argued that reliance by the insurer on a wide exclusion clause which was not brought to the assured’s attention was contrary to </w:t>
      </w:r>
      <w:r w:rsidR="00324EE5">
        <w:rPr>
          <w:rStyle w:val="Strong"/>
          <w:b w:val="0"/>
        </w:rPr>
        <w:t>‘</w:t>
      </w:r>
      <w:r>
        <w:rPr>
          <w:rStyle w:val="Strong"/>
          <w:b w:val="0"/>
        </w:rPr>
        <w:t>good faith</w:t>
      </w:r>
      <w:r w:rsidR="00324EE5">
        <w:rPr>
          <w:rStyle w:val="Strong"/>
          <w:b w:val="0"/>
        </w:rPr>
        <w:t>’</w:t>
      </w:r>
      <w:r w:rsidR="003434AA">
        <w:rPr>
          <w:rStyle w:val="Strong"/>
          <w:b w:val="0"/>
        </w:rPr>
        <w:t xml:space="preserve">; and, if the </w:t>
      </w:r>
      <w:r>
        <w:rPr>
          <w:rStyle w:val="Strong"/>
          <w:b w:val="0"/>
        </w:rPr>
        <w:t xml:space="preserve">principle </w:t>
      </w:r>
      <w:r w:rsidR="00CE291C">
        <w:rPr>
          <w:rStyle w:val="Strong"/>
          <w:b w:val="0"/>
        </w:rPr>
        <w:t xml:space="preserve">of </w:t>
      </w:r>
      <w:r w:rsidR="003434AA">
        <w:rPr>
          <w:rStyle w:val="Strong"/>
          <w:b w:val="0"/>
        </w:rPr>
        <w:t xml:space="preserve">good faith </w:t>
      </w:r>
      <w:r>
        <w:rPr>
          <w:rStyle w:val="Strong"/>
          <w:b w:val="0"/>
        </w:rPr>
        <w:t xml:space="preserve">became incorporated as a term into the contract, </w:t>
      </w:r>
      <w:r w:rsidR="00476541">
        <w:rPr>
          <w:rStyle w:val="Strong"/>
          <w:b w:val="0"/>
        </w:rPr>
        <w:t>its breach by the insurer could</w:t>
      </w:r>
      <w:r>
        <w:rPr>
          <w:rStyle w:val="Strong"/>
          <w:b w:val="0"/>
        </w:rPr>
        <w:t xml:space="preserve"> sound in damages.</w:t>
      </w:r>
    </w:p>
    <w:p w:rsidR="00374D2A" w:rsidRPr="00374D2A" w:rsidRDefault="001468F8" w:rsidP="00374D2A">
      <w:pPr>
        <w:spacing w:before="120" w:after="120" w:line="360" w:lineRule="auto"/>
        <w:rPr>
          <w:rStyle w:val="Strong"/>
        </w:rPr>
      </w:pPr>
      <w:r>
        <w:rPr>
          <w:rStyle w:val="Strong"/>
        </w:rPr>
        <w:t>Conclusion</w:t>
      </w:r>
    </w:p>
    <w:p w:rsidR="001468F8" w:rsidRDefault="002C12E7" w:rsidP="001468F8">
      <w:pPr>
        <w:pStyle w:val="ListParagraph"/>
        <w:rPr>
          <w:rStyle w:val="Strong"/>
          <w:b w:val="0"/>
        </w:rPr>
      </w:pPr>
      <w:r>
        <w:rPr>
          <w:rStyle w:val="Strong"/>
          <w:b w:val="0"/>
        </w:rPr>
        <w:t xml:space="preserve">It has been argued that the repugnancy doctrine can </w:t>
      </w:r>
      <w:r w:rsidR="00CC159B">
        <w:rPr>
          <w:rStyle w:val="Strong"/>
          <w:b w:val="0"/>
        </w:rPr>
        <w:t>safely be discarded without a material impact on the law of contract</w:t>
      </w:r>
      <w:r w:rsidR="001468F8">
        <w:rPr>
          <w:rStyle w:val="Strong"/>
          <w:b w:val="0"/>
        </w:rPr>
        <w:t>.  The doctrine is unprincipled, out-dated and unnecessary.</w:t>
      </w:r>
    </w:p>
    <w:p w:rsidR="00374D2A" w:rsidRDefault="00BA68F5" w:rsidP="001468F8">
      <w:pPr>
        <w:pStyle w:val="ListParagraph"/>
        <w:rPr>
          <w:rStyle w:val="Strong"/>
          <w:b w:val="0"/>
        </w:rPr>
      </w:pPr>
      <w:r>
        <w:rPr>
          <w:rStyle w:val="Strong"/>
          <w:b w:val="0"/>
        </w:rPr>
        <w:t xml:space="preserve">Ultimately, an exclusion clause should </w:t>
      </w:r>
      <w:r w:rsidR="001468F8">
        <w:rPr>
          <w:rStyle w:val="Strong"/>
          <w:b w:val="0"/>
        </w:rPr>
        <w:t xml:space="preserve">not be construed by reference to some preconceived notion that the failure to perform a particular obligation was intended to give rise to a claim in damages, but should </w:t>
      </w:r>
      <w:r>
        <w:rPr>
          <w:rStyle w:val="Strong"/>
          <w:b w:val="0"/>
        </w:rPr>
        <w:t xml:space="preserve">be </w:t>
      </w:r>
      <w:r w:rsidR="000023BD">
        <w:rPr>
          <w:rStyle w:val="Strong"/>
          <w:b w:val="0"/>
        </w:rPr>
        <w:t>construed</w:t>
      </w:r>
      <w:r>
        <w:rPr>
          <w:rStyle w:val="Strong"/>
          <w:b w:val="0"/>
        </w:rPr>
        <w:t xml:space="preserve"> in</w:t>
      </w:r>
      <w:r w:rsidR="000023BD">
        <w:rPr>
          <w:rStyle w:val="Strong"/>
          <w:b w:val="0"/>
        </w:rPr>
        <w:t xml:space="preserve"> light of the contract as a whole</w:t>
      </w:r>
      <w:r w:rsidR="002B77D8">
        <w:rPr>
          <w:rStyle w:val="Strong"/>
          <w:b w:val="0"/>
        </w:rPr>
        <w:t>.</w:t>
      </w:r>
      <w:r w:rsidR="000023BD">
        <w:rPr>
          <w:rStyle w:val="FootnoteReference"/>
          <w:rFonts w:ascii="Times New Roman" w:hAnsi="Times New Roman" w:cs="Times New Roman"/>
          <w:bCs/>
          <w:sz w:val="24"/>
          <w:szCs w:val="24"/>
        </w:rPr>
        <w:footnoteReference w:id="19"/>
      </w:r>
      <w:r w:rsidR="002B77D8">
        <w:rPr>
          <w:rStyle w:val="Strong"/>
          <w:b w:val="0"/>
        </w:rPr>
        <w:t xml:space="preserve">  </w:t>
      </w:r>
      <w:r w:rsidR="00DE6337">
        <w:rPr>
          <w:rStyle w:val="Strong"/>
          <w:b w:val="0"/>
        </w:rPr>
        <w:t>The repugnancy doctrine cuts across</w:t>
      </w:r>
      <w:r w:rsidR="00B05223">
        <w:rPr>
          <w:rStyle w:val="Strong"/>
          <w:b w:val="0"/>
        </w:rPr>
        <w:t xml:space="preserve"> the modern law</w:t>
      </w:r>
      <w:r w:rsidR="00DE6337">
        <w:rPr>
          <w:rStyle w:val="Strong"/>
          <w:b w:val="0"/>
        </w:rPr>
        <w:t>, and should be rejected.</w:t>
      </w:r>
    </w:p>
    <w:p w:rsidR="002B77D8" w:rsidRDefault="002B77D8" w:rsidP="002B77D8">
      <w:pPr>
        <w:rPr>
          <w:rStyle w:val="Strong"/>
          <w:b w:val="0"/>
        </w:rPr>
      </w:pPr>
    </w:p>
    <w:p w:rsidR="002B77D8" w:rsidRDefault="002B77D8" w:rsidP="002B77D8">
      <w:pPr>
        <w:rPr>
          <w:rStyle w:val="Strong"/>
          <w:b w:val="0"/>
        </w:rPr>
      </w:pPr>
      <w:r>
        <w:rPr>
          <w:rStyle w:val="Strong"/>
          <w:b w:val="0"/>
        </w:rPr>
        <w:t>Max Evans</w:t>
      </w:r>
    </w:p>
    <w:p w:rsidR="002B77D8" w:rsidRDefault="002B77D8" w:rsidP="002B77D8">
      <w:pPr>
        <w:rPr>
          <w:rStyle w:val="Strong"/>
          <w:b w:val="0"/>
        </w:rPr>
      </w:pPr>
      <w:r>
        <w:rPr>
          <w:rStyle w:val="Strong"/>
          <w:b w:val="0"/>
        </w:rPr>
        <w:t>Fountain Court Chambers</w:t>
      </w:r>
    </w:p>
    <w:p w:rsidR="00644369" w:rsidRDefault="00644369" w:rsidP="002B77D8">
      <w:pPr>
        <w:rPr>
          <w:rStyle w:val="Strong"/>
          <w:b w:val="0"/>
        </w:rPr>
      </w:pPr>
    </w:p>
    <w:p w:rsidR="00644369" w:rsidRPr="00644369" w:rsidRDefault="00644369" w:rsidP="002B77D8">
      <w:pPr>
        <w:rPr>
          <w:rStyle w:val="Strong"/>
          <w:b w:val="0"/>
        </w:rPr>
      </w:pPr>
      <w:bookmarkStart w:id="0" w:name="_GoBack"/>
      <w:bookmarkEnd w:id="0"/>
      <w:r>
        <w:rPr>
          <w:rStyle w:val="Strong"/>
          <w:b w:val="0"/>
        </w:rPr>
        <w:t xml:space="preserve"> </w:t>
      </w:r>
    </w:p>
    <w:sectPr w:rsidR="00644369" w:rsidRPr="0064436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35A" w:rsidRDefault="0033535A" w:rsidP="0033535A">
      <w:pPr>
        <w:spacing w:after="0" w:line="240" w:lineRule="auto"/>
      </w:pPr>
      <w:r>
        <w:separator/>
      </w:r>
    </w:p>
  </w:endnote>
  <w:endnote w:type="continuationSeparator" w:id="0">
    <w:p w:rsidR="0033535A" w:rsidRDefault="0033535A" w:rsidP="00335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99772036"/>
      <w:docPartObj>
        <w:docPartGallery w:val="Page Numbers (Bottom of Page)"/>
        <w:docPartUnique/>
      </w:docPartObj>
    </w:sdtPr>
    <w:sdtEndPr>
      <w:rPr>
        <w:noProof/>
      </w:rPr>
    </w:sdtEndPr>
    <w:sdtContent>
      <w:p w:rsidR="0033535A" w:rsidRPr="0033535A" w:rsidRDefault="0033535A">
        <w:pPr>
          <w:pStyle w:val="Footer"/>
          <w:jc w:val="center"/>
          <w:rPr>
            <w:rFonts w:ascii="Times New Roman" w:hAnsi="Times New Roman" w:cs="Times New Roman"/>
            <w:sz w:val="20"/>
            <w:szCs w:val="20"/>
          </w:rPr>
        </w:pPr>
        <w:r w:rsidRPr="0033535A">
          <w:rPr>
            <w:rFonts w:ascii="Times New Roman" w:hAnsi="Times New Roman" w:cs="Times New Roman"/>
            <w:sz w:val="20"/>
            <w:szCs w:val="20"/>
          </w:rPr>
          <w:fldChar w:fldCharType="begin"/>
        </w:r>
        <w:r w:rsidRPr="0033535A">
          <w:rPr>
            <w:rFonts w:ascii="Times New Roman" w:hAnsi="Times New Roman" w:cs="Times New Roman"/>
            <w:sz w:val="20"/>
            <w:szCs w:val="20"/>
          </w:rPr>
          <w:instrText xml:space="preserve"> PAGE   \* MERGEFORMAT </w:instrText>
        </w:r>
        <w:r w:rsidRPr="0033535A">
          <w:rPr>
            <w:rFonts w:ascii="Times New Roman" w:hAnsi="Times New Roman" w:cs="Times New Roman"/>
            <w:sz w:val="20"/>
            <w:szCs w:val="20"/>
          </w:rPr>
          <w:fldChar w:fldCharType="separate"/>
        </w:r>
        <w:r w:rsidR="00386BDE">
          <w:rPr>
            <w:rFonts w:ascii="Times New Roman" w:hAnsi="Times New Roman" w:cs="Times New Roman"/>
            <w:noProof/>
            <w:sz w:val="20"/>
            <w:szCs w:val="20"/>
          </w:rPr>
          <w:t>8</w:t>
        </w:r>
        <w:r w:rsidRPr="0033535A">
          <w:rPr>
            <w:rFonts w:ascii="Times New Roman" w:hAnsi="Times New Roman" w:cs="Times New Roman"/>
            <w:noProof/>
            <w:sz w:val="20"/>
            <w:szCs w:val="20"/>
          </w:rPr>
          <w:fldChar w:fldCharType="end"/>
        </w:r>
      </w:p>
    </w:sdtContent>
  </w:sdt>
  <w:p w:rsidR="0033535A" w:rsidRPr="0033535A" w:rsidRDefault="0033535A">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35A" w:rsidRDefault="0033535A" w:rsidP="0033535A">
      <w:pPr>
        <w:spacing w:after="0" w:line="240" w:lineRule="auto"/>
      </w:pPr>
      <w:r>
        <w:separator/>
      </w:r>
    </w:p>
  </w:footnote>
  <w:footnote w:type="continuationSeparator" w:id="0">
    <w:p w:rsidR="0033535A" w:rsidRDefault="0033535A" w:rsidP="0033535A">
      <w:pPr>
        <w:spacing w:after="0" w:line="240" w:lineRule="auto"/>
      </w:pPr>
      <w:r>
        <w:continuationSeparator/>
      </w:r>
    </w:p>
  </w:footnote>
  <w:footnote w:id="1">
    <w:p w:rsidR="000D7DAC" w:rsidRPr="007968A5" w:rsidRDefault="000D7DAC" w:rsidP="00E412F3">
      <w:pPr>
        <w:pStyle w:val="FootnoteText"/>
        <w:jc w:val="both"/>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00E412F3" w:rsidRPr="007968A5">
        <w:rPr>
          <w:rFonts w:ascii="Times New Roman" w:hAnsi="Times New Roman" w:cs="Times New Roman"/>
          <w:i/>
        </w:rPr>
        <w:t>Suisse Atlantique Societe d’Armement Maritime SA v NV Rotterdamsche Kolen Centrale</w:t>
      </w:r>
      <w:r w:rsidR="00E412F3" w:rsidRPr="007968A5">
        <w:rPr>
          <w:rFonts w:ascii="Times New Roman" w:hAnsi="Times New Roman" w:cs="Times New Roman"/>
        </w:rPr>
        <w:t xml:space="preserve"> </w:t>
      </w:r>
      <w:r w:rsidRPr="007968A5">
        <w:rPr>
          <w:rStyle w:val="Strong"/>
          <w:b w:val="0"/>
          <w:sz w:val="20"/>
          <w:szCs w:val="20"/>
        </w:rPr>
        <w:t>[1967] AC 361 at 432</w:t>
      </w:r>
      <w:r w:rsidR="00E412F3" w:rsidRPr="007968A5">
        <w:rPr>
          <w:rStyle w:val="Strong"/>
          <w:b w:val="0"/>
          <w:sz w:val="20"/>
          <w:szCs w:val="20"/>
        </w:rPr>
        <w:t>.</w:t>
      </w:r>
    </w:p>
  </w:footnote>
  <w:footnote w:id="2">
    <w:p w:rsidR="000D7DAC" w:rsidRPr="007968A5" w:rsidRDefault="000D7DAC" w:rsidP="00E412F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Style w:val="Strong"/>
          <w:b w:val="0"/>
          <w:sz w:val="20"/>
          <w:szCs w:val="20"/>
        </w:rPr>
        <w:t>[1980] AC 827.</w:t>
      </w:r>
    </w:p>
  </w:footnote>
  <w:footnote w:id="3">
    <w:p w:rsidR="000D7DAC" w:rsidRPr="007968A5" w:rsidRDefault="000D7DAC" w:rsidP="00E412F3">
      <w:pPr>
        <w:spacing w:after="0" w:line="240" w:lineRule="auto"/>
        <w:ind w:right="521"/>
        <w:jc w:val="both"/>
        <w:rPr>
          <w:rFonts w:ascii="Times New Roman" w:hAnsi="Times New Roman" w:cs="Times New Roman"/>
          <w:sz w:val="20"/>
          <w:szCs w:val="20"/>
        </w:rPr>
      </w:pPr>
      <w:r w:rsidRPr="007968A5">
        <w:rPr>
          <w:rStyle w:val="FootnoteReference"/>
          <w:rFonts w:ascii="Times New Roman" w:hAnsi="Times New Roman" w:cs="Times New Roman"/>
          <w:sz w:val="20"/>
          <w:szCs w:val="20"/>
        </w:rPr>
        <w:footnoteRef/>
      </w:r>
      <w:r w:rsidRPr="007968A5">
        <w:rPr>
          <w:rFonts w:ascii="Times New Roman" w:hAnsi="Times New Roman" w:cs="Times New Roman"/>
          <w:sz w:val="20"/>
          <w:szCs w:val="20"/>
        </w:rPr>
        <w:t xml:space="preserve"> </w:t>
      </w:r>
      <w:r w:rsidR="00E412F3" w:rsidRPr="007968A5">
        <w:rPr>
          <w:rStyle w:val="Strong"/>
          <w:b w:val="0"/>
          <w:sz w:val="20"/>
          <w:szCs w:val="20"/>
        </w:rPr>
        <w:t>At 398F-G</w:t>
      </w:r>
      <w:r w:rsidRPr="007968A5">
        <w:rPr>
          <w:rStyle w:val="Strong"/>
          <w:b w:val="0"/>
          <w:sz w:val="20"/>
          <w:szCs w:val="20"/>
        </w:rPr>
        <w:t>.</w:t>
      </w:r>
    </w:p>
  </w:footnote>
  <w:footnote w:id="4">
    <w:p w:rsidR="00B76A53" w:rsidRPr="007968A5" w:rsidRDefault="00B76A5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At 432.</w:t>
      </w:r>
    </w:p>
  </w:footnote>
  <w:footnote w:id="5">
    <w:p w:rsidR="000D7DAC" w:rsidRPr="007968A5" w:rsidRDefault="000D7DAC" w:rsidP="00E412F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Style w:val="Strong"/>
          <w:b w:val="0"/>
          <w:sz w:val="20"/>
          <w:szCs w:val="20"/>
        </w:rPr>
        <w:t>[1984] 1 WLR 48</w:t>
      </w:r>
      <w:r w:rsidR="001C37FE" w:rsidRPr="007968A5">
        <w:rPr>
          <w:rStyle w:val="Strong"/>
          <w:b w:val="0"/>
          <w:sz w:val="20"/>
          <w:szCs w:val="20"/>
        </w:rPr>
        <w:t>.</w:t>
      </w:r>
    </w:p>
  </w:footnote>
  <w:footnote w:id="6">
    <w:p w:rsidR="00BF5B66" w:rsidRPr="007968A5" w:rsidRDefault="00BF5B66" w:rsidP="00BF5B66">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001E2CF1" w:rsidRPr="007968A5">
        <w:rPr>
          <w:rFonts w:ascii="Times New Roman" w:hAnsi="Times New Roman" w:cs="Times New Roman"/>
        </w:rPr>
        <w:t>At 58</w:t>
      </w:r>
      <w:r w:rsidRPr="007968A5">
        <w:rPr>
          <w:rFonts w:ascii="Times New Roman" w:hAnsi="Times New Roman" w:cs="Times New Roman"/>
        </w:rPr>
        <w:t xml:space="preserve"> (emphasis added).</w:t>
      </w:r>
    </w:p>
  </w:footnote>
  <w:footnote w:id="7">
    <w:p w:rsidR="001E2CF1" w:rsidRPr="007968A5" w:rsidRDefault="001E2CF1">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At 59.</w:t>
      </w:r>
    </w:p>
  </w:footnote>
  <w:footnote w:id="8">
    <w:p w:rsidR="000D7DAC" w:rsidRPr="007968A5" w:rsidRDefault="000D7DAC" w:rsidP="00E412F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Style w:val="Strong"/>
          <w:b w:val="0"/>
          <w:sz w:val="20"/>
          <w:szCs w:val="20"/>
        </w:rPr>
        <w:t>[1998] Ch 241.</w:t>
      </w:r>
    </w:p>
  </w:footnote>
  <w:footnote w:id="9">
    <w:p w:rsidR="000D7DAC" w:rsidRPr="007968A5" w:rsidRDefault="000D7DAC" w:rsidP="00E412F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Style w:val="Strong"/>
          <w:b w:val="0"/>
          <w:sz w:val="20"/>
          <w:szCs w:val="20"/>
        </w:rPr>
        <w:t>[1951] 1 KB 32</w:t>
      </w:r>
      <w:r w:rsidR="001C37FE" w:rsidRPr="007968A5">
        <w:rPr>
          <w:rStyle w:val="Strong"/>
          <w:b w:val="0"/>
          <w:sz w:val="20"/>
          <w:szCs w:val="20"/>
        </w:rPr>
        <w:t>.</w:t>
      </w:r>
    </w:p>
  </w:footnote>
  <w:footnote w:id="10">
    <w:p w:rsidR="000D7DAC" w:rsidRPr="007968A5" w:rsidRDefault="000D7DAC" w:rsidP="00E412F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Style w:val="Strong"/>
          <w:b w:val="0"/>
          <w:sz w:val="20"/>
          <w:szCs w:val="20"/>
        </w:rPr>
        <w:t>[2014] EWHC 2122 (Comm)</w:t>
      </w:r>
      <w:r w:rsidR="001C37FE" w:rsidRPr="007968A5">
        <w:rPr>
          <w:rStyle w:val="Strong"/>
          <w:b w:val="0"/>
          <w:sz w:val="20"/>
          <w:szCs w:val="20"/>
        </w:rPr>
        <w:t>.</w:t>
      </w:r>
    </w:p>
  </w:footnote>
  <w:footnote w:id="11">
    <w:p w:rsidR="000D7DAC" w:rsidRPr="007968A5" w:rsidRDefault="000D7DAC" w:rsidP="00E412F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Style w:val="Strong"/>
          <w:b w:val="0"/>
          <w:sz w:val="20"/>
          <w:szCs w:val="20"/>
        </w:rPr>
        <w:t>[2014] Bus LR 765</w:t>
      </w:r>
      <w:r w:rsidR="002A61C9" w:rsidRPr="007968A5">
        <w:rPr>
          <w:rStyle w:val="Strong"/>
          <w:b w:val="0"/>
          <w:sz w:val="20"/>
          <w:szCs w:val="20"/>
        </w:rPr>
        <w:t xml:space="preserve"> at [37]</w:t>
      </w:r>
      <w:r w:rsidR="001C37FE" w:rsidRPr="007968A5">
        <w:rPr>
          <w:rStyle w:val="Strong"/>
          <w:b w:val="0"/>
          <w:sz w:val="20"/>
          <w:szCs w:val="20"/>
        </w:rPr>
        <w:t>.</w:t>
      </w:r>
    </w:p>
  </w:footnote>
  <w:footnote w:id="12">
    <w:p w:rsidR="002A61C9" w:rsidRPr="007968A5" w:rsidRDefault="002A61C9" w:rsidP="00E412F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Style w:val="Strong"/>
          <w:b w:val="0"/>
          <w:sz w:val="20"/>
          <w:szCs w:val="20"/>
        </w:rPr>
        <w:t>[1970] 1 QB 177</w:t>
      </w:r>
      <w:r w:rsidR="001C37FE" w:rsidRPr="007968A5">
        <w:rPr>
          <w:rStyle w:val="Strong"/>
          <w:b w:val="0"/>
          <w:sz w:val="20"/>
          <w:szCs w:val="20"/>
        </w:rPr>
        <w:t>.</w:t>
      </w:r>
    </w:p>
  </w:footnote>
  <w:footnote w:id="13">
    <w:p w:rsidR="00F12B31" w:rsidRPr="007968A5" w:rsidRDefault="00F12B31">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At 184.</w:t>
      </w:r>
    </w:p>
  </w:footnote>
  <w:footnote w:id="14">
    <w:p w:rsidR="00AB2C47" w:rsidRPr="007968A5" w:rsidRDefault="00AB2C47" w:rsidP="00E412F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Style w:val="Strong"/>
          <w:b w:val="0"/>
          <w:sz w:val="20"/>
          <w:szCs w:val="20"/>
        </w:rPr>
        <w:t>[2004] EWHC 2924 (Comm)</w:t>
      </w:r>
      <w:r w:rsidR="001C37FE" w:rsidRPr="007968A5">
        <w:rPr>
          <w:rStyle w:val="Strong"/>
          <w:b w:val="0"/>
          <w:sz w:val="20"/>
          <w:szCs w:val="20"/>
        </w:rPr>
        <w:t>.</w:t>
      </w:r>
    </w:p>
  </w:footnote>
  <w:footnote w:id="15">
    <w:p w:rsidR="00AB2C47" w:rsidRPr="007968A5" w:rsidRDefault="00AB2C47" w:rsidP="00E412F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Style w:val="Strong"/>
          <w:b w:val="0"/>
          <w:sz w:val="20"/>
          <w:szCs w:val="20"/>
        </w:rPr>
        <w:t>[2004] EWHC 2625 (Comm)</w:t>
      </w:r>
      <w:r w:rsidR="001C37FE" w:rsidRPr="007968A5">
        <w:rPr>
          <w:rStyle w:val="Strong"/>
          <w:b w:val="0"/>
          <w:sz w:val="20"/>
          <w:szCs w:val="20"/>
        </w:rPr>
        <w:t>.</w:t>
      </w:r>
    </w:p>
  </w:footnote>
  <w:footnote w:id="16">
    <w:p w:rsidR="00951AAC" w:rsidRPr="007968A5" w:rsidRDefault="00951AAC">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Style w:val="Strong"/>
          <w:b w:val="0"/>
          <w:sz w:val="20"/>
          <w:szCs w:val="20"/>
        </w:rPr>
        <w:t>This was the reasoning that was in fact adopted by the Court of Appeal.</w:t>
      </w:r>
    </w:p>
  </w:footnote>
  <w:footnote w:id="17">
    <w:p w:rsidR="003201B0" w:rsidRPr="007968A5" w:rsidRDefault="003201B0" w:rsidP="00E412F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Style w:val="Strong"/>
          <w:b w:val="0"/>
          <w:sz w:val="20"/>
          <w:szCs w:val="20"/>
        </w:rPr>
        <w:t>[2011] 1 WLR 2900</w:t>
      </w:r>
      <w:r w:rsidR="001C37FE" w:rsidRPr="007968A5">
        <w:rPr>
          <w:rStyle w:val="Strong"/>
          <w:b w:val="0"/>
          <w:sz w:val="20"/>
          <w:szCs w:val="20"/>
        </w:rPr>
        <w:t>.</w:t>
      </w:r>
    </w:p>
  </w:footnote>
  <w:footnote w:id="18">
    <w:p w:rsidR="00AB2C47" w:rsidRPr="007968A5" w:rsidRDefault="00AB2C47" w:rsidP="00E412F3">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w:t>
      </w:r>
      <w:r w:rsidRPr="007968A5">
        <w:rPr>
          <w:rFonts w:ascii="Times New Roman" w:hAnsi="Times New Roman" w:cs="Times New Roman"/>
          <w:i/>
        </w:rPr>
        <w:t>Kudos Catering v Manchester Central Convention Complex Ltd</w:t>
      </w:r>
      <w:r w:rsidRPr="007968A5">
        <w:rPr>
          <w:rFonts w:ascii="Times New Roman" w:hAnsi="Times New Roman" w:cs="Times New Roman"/>
        </w:rPr>
        <w:t xml:space="preserve"> [2013] EWCA Civ 38.</w:t>
      </w:r>
    </w:p>
  </w:footnote>
  <w:footnote w:id="19">
    <w:p w:rsidR="000023BD" w:rsidRPr="007968A5" w:rsidRDefault="000023BD">
      <w:pPr>
        <w:pStyle w:val="FootnoteText"/>
        <w:rPr>
          <w:rFonts w:ascii="Times New Roman" w:hAnsi="Times New Roman" w:cs="Times New Roman"/>
        </w:rPr>
      </w:pPr>
      <w:r w:rsidRPr="007968A5">
        <w:rPr>
          <w:rStyle w:val="FootnoteReference"/>
          <w:rFonts w:ascii="Times New Roman" w:hAnsi="Times New Roman" w:cs="Times New Roman"/>
        </w:rPr>
        <w:footnoteRef/>
      </w:r>
      <w:r w:rsidRPr="007968A5">
        <w:rPr>
          <w:rFonts w:ascii="Times New Roman" w:hAnsi="Times New Roman" w:cs="Times New Roman"/>
        </w:rPr>
        <w:t xml:space="preserve"> See </w:t>
      </w:r>
      <w:r w:rsidRPr="007968A5">
        <w:rPr>
          <w:rFonts w:ascii="Times New Roman" w:hAnsi="Times New Roman" w:cs="Times New Roman"/>
          <w:i/>
        </w:rPr>
        <w:t>Nissho Iwai Australia Ltd v Malaysian International Shipping Corp</w:t>
      </w:r>
      <w:r w:rsidRPr="007968A5">
        <w:rPr>
          <w:rFonts w:ascii="Times New Roman" w:hAnsi="Times New Roman" w:cs="Times New Roman"/>
        </w:rPr>
        <w:t xml:space="preserve"> (1989) 167 CLR 219 (HCA) at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A1685"/>
    <w:multiLevelType w:val="multilevel"/>
    <w:tmpl w:val="BE0C5552"/>
    <w:lvl w:ilvl="0">
      <w:start w:val="1"/>
      <w:numFmt w:val="decimal"/>
      <w:pStyle w:val="ListParagraph"/>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39548E4"/>
    <w:multiLevelType w:val="multilevel"/>
    <w:tmpl w:val="CFC071D4"/>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1F"/>
    <w:rsid w:val="00000DCD"/>
    <w:rsid w:val="000023BD"/>
    <w:rsid w:val="00017605"/>
    <w:rsid w:val="0002493E"/>
    <w:rsid w:val="000352F3"/>
    <w:rsid w:val="000558D3"/>
    <w:rsid w:val="00062B76"/>
    <w:rsid w:val="000806A6"/>
    <w:rsid w:val="000813B3"/>
    <w:rsid w:val="0008258F"/>
    <w:rsid w:val="00095842"/>
    <w:rsid w:val="00096B7C"/>
    <w:rsid w:val="000A202F"/>
    <w:rsid w:val="000B112B"/>
    <w:rsid w:val="000C1436"/>
    <w:rsid w:val="000C3178"/>
    <w:rsid w:val="000D7DAC"/>
    <w:rsid w:val="000F035C"/>
    <w:rsid w:val="000F0FF4"/>
    <w:rsid w:val="000F7CCD"/>
    <w:rsid w:val="00102A2F"/>
    <w:rsid w:val="001036B1"/>
    <w:rsid w:val="00105342"/>
    <w:rsid w:val="00113308"/>
    <w:rsid w:val="00136D61"/>
    <w:rsid w:val="00143E88"/>
    <w:rsid w:val="0014592E"/>
    <w:rsid w:val="001468F8"/>
    <w:rsid w:val="001670C6"/>
    <w:rsid w:val="00167AA7"/>
    <w:rsid w:val="00175D4A"/>
    <w:rsid w:val="00176FDF"/>
    <w:rsid w:val="00182AEF"/>
    <w:rsid w:val="0018680C"/>
    <w:rsid w:val="001914B4"/>
    <w:rsid w:val="001B04F2"/>
    <w:rsid w:val="001C37FE"/>
    <w:rsid w:val="001E00DC"/>
    <w:rsid w:val="001E2CF1"/>
    <w:rsid w:val="001F63E3"/>
    <w:rsid w:val="0020449B"/>
    <w:rsid w:val="00214413"/>
    <w:rsid w:val="00215D08"/>
    <w:rsid w:val="002164ED"/>
    <w:rsid w:val="00216E39"/>
    <w:rsid w:val="00245595"/>
    <w:rsid w:val="002502EC"/>
    <w:rsid w:val="0026211D"/>
    <w:rsid w:val="00273B67"/>
    <w:rsid w:val="00273BE0"/>
    <w:rsid w:val="002848C6"/>
    <w:rsid w:val="00284A4C"/>
    <w:rsid w:val="0028760E"/>
    <w:rsid w:val="002A4388"/>
    <w:rsid w:val="002A61C9"/>
    <w:rsid w:val="002A7A9E"/>
    <w:rsid w:val="002B0EF3"/>
    <w:rsid w:val="002B64B6"/>
    <w:rsid w:val="002B77D8"/>
    <w:rsid w:val="002C12E7"/>
    <w:rsid w:val="002C66FA"/>
    <w:rsid w:val="002D79EB"/>
    <w:rsid w:val="002E37B4"/>
    <w:rsid w:val="002E5117"/>
    <w:rsid w:val="003201B0"/>
    <w:rsid w:val="00321AAF"/>
    <w:rsid w:val="00324EE5"/>
    <w:rsid w:val="0033535A"/>
    <w:rsid w:val="003434AA"/>
    <w:rsid w:val="0035424F"/>
    <w:rsid w:val="00357C2E"/>
    <w:rsid w:val="00360C3F"/>
    <w:rsid w:val="00366364"/>
    <w:rsid w:val="00367057"/>
    <w:rsid w:val="00374D2A"/>
    <w:rsid w:val="00386BDE"/>
    <w:rsid w:val="003A03D7"/>
    <w:rsid w:val="003A436A"/>
    <w:rsid w:val="003B53E6"/>
    <w:rsid w:val="003C677E"/>
    <w:rsid w:val="003E64C1"/>
    <w:rsid w:val="003F2A06"/>
    <w:rsid w:val="00412CEC"/>
    <w:rsid w:val="00425596"/>
    <w:rsid w:val="00444E33"/>
    <w:rsid w:val="00445214"/>
    <w:rsid w:val="00470E62"/>
    <w:rsid w:val="00474C25"/>
    <w:rsid w:val="00476541"/>
    <w:rsid w:val="0049028F"/>
    <w:rsid w:val="004A180B"/>
    <w:rsid w:val="004A258E"/>
    <w:rsid w:val="004B0D05"/>
    <w:rsid w:val="004B6604"/>
    <w:rsid w:val="004D1A94"/>
    <w:rsid w:val="004D3FD2"/>
    <w:rsid w:val="004D4E5C"/>
    <w:rsid w:val="004E7240"/>
    <w:rsid w:val="005148AA"/>
    <w:rsid w:val="0051799B"/>
    <w:rsid w:val="0052283B"/>
    <w:rsid w:val="00540AFE"/>
    <w:rsid w:val="00544698"/>
    <w:rsid w:val="0055429E"/>
    <w:rsid w:val="0057167F"/>
    <w:rsid w:val="005C46EC"/>
    <w:rsid w:val="005D2149"/>
    <w:rsid w:val="005E22EF"/>
    <w:rsid w:val="006029BC"/>
    <w:rsid w:val="00613BAD"/>
    <w:rsid w:val="00614A30"/>
    <w:rsid w:val="00644369"/>
    <w:rsid w:val="00645F74"/>
    <w:rsid w:val="0065365C"/>
    <w:rsid w:val="006970F3"/>
    <w:rsid w:val="006D023A"/>
    <w:rsid w:val="006E4AD9"/>
    <w:rsid w:val="007036F5"/>
    <w:rsid w:val="00706432"/>
    <w:rsid w:val="007168E7"/>
    <w:rsid w:val="00720277"/>
    <w:rsid w:val="00727228"/>
    <w:rsid w:val="00730CC0"/>
    <w:rsid w:val="00734D41"/>
    <w:rsid w:val="0075717C"/>
    <w:rsid w:val="007968A5"/>
    <w:rsid w:val="00796D77"/>
    <w:rsid w:val="007A4430"/>
    <w:rsid w:val="007B0930"/>
    <w:rsid w:val="007C21A6"/>
    <w:rsid w:val="007C2A8A"/>
    <w:rsid w:val="007D4D7C"/>
    <w:rsid w:val="007F0A81"/>
    <w:rsid w:val="00801560"/>
    <w:rsid w:val="0080425E"/>
    <w:rsid w:val="00810288"/>
    <w:rsid w:val="00810E08"/>
    <w:rsid w:val="00815AE1"/>
    <w:rsid w:val="00821C0C"/>
    <w:rsid w:val="00856EDF"/>
    <w:rsid w:val="00890485"/>
    <w:rsid w:val="008B05BF"/>
    <w:rsid w:val="008B5F83"/>
    <w:rsid w:val="008C1032"/>
    <w:rsid w:val="008D4CB0"/>
    <w:rsid w:val="008F0322"/>
    <w:rsid w:val="008F16ED"/>
    <w:rsid w:val="00900251"/>
    <w:rsid w:val="009006C8"/>
    <w:rsid w:val="00911740"/>
    <w:rsid w:val="00911F54"/>
    <w:rsid w:val="0093502D"/>
    <w:rsid w:val="00945CA5"/>
    <w:rsid w:val="00951AAC"/>
    <w:rsid w:val="009670D3"/>
    <w:rsid w:val="00970F61"/>
    <w:rsid w:val="00975C61"/>
    <w:rsid w:val="00982B08"/>
    <w:rsid w:val="00986213"/>
    <w:rsid w:val="00990DDB"/>
    <w:rsid w:val="009932D5"/>
    <w:rsid w:val="00995C59"/>
    <w:rsid w:val="009A0EA0"/>
    <w:rsid w:val="009A7EFD"/>
    <w:rsid w:val="009B705F"/>
    <w:rsid w:val="009D1962"/>
    <w:rsid w:val="009D1FE0"/>
    <w:rsid w:val="009D2CBC"/>
    <w:rsid w:val="009D39EF"/>
    <w:rsid w:val="009D67F0"/>
    <w:rsid w:val="009E6F2E"/>
    <w:rsid w:val="009F05B7"/>
    <w:rsid w:val="00A111A9"/>
    <w:rsid w:val="00A144B5"/>
    <w:rsid w:val="00A26424"/>
    <w:rsid w:val="00A66490"/>
    <w:rsid w:val="00AA02B0"/>
    <w:rsid w:val="00AB2C47"/>
    <w:rsid w:val="00AB3585"/>
    <w:rsid w:val="00AC7FC5"/>
    <w:rsid w:val="00AF0127"/>
    <w:rsid w:val="00B05223"/>
    <w:rsid w:val="00B11D10"/>
    <w:rsid w:val="00B16791"/>
    <w:rsid w:val="00B2696E"/>
    <w:rsid w:val="00B437C0"/>
    <w:rsid w:val="00B57D38"/>
    <w:rsid w:val="00B624BC"/>
    <w:rsid w:val="00B636B9"/>
    <w:rsid w:val="00B70FE3"/>
    <w:rsid w:val="00B71232"/>
    <w:rsid w:val="00B71ACA"/>
    <w:rsid w:val="00B76A53"/>
    <w:rsid w:val="00B84A57"/>
    <w:rsid w:val="00B94A42"/>
    <w:rsid w:val="00B9637F"/>
    <w:rsid w:val="00BA25C2"/>
    <w:rsid w:val="00BA68F5"/>
    <w:rsid w:val="00BC26AE"/>
    <w:rsid w:val="00BF3129"/>
    <w:rsid w:val="00BF5B66"/>
    <w:rsid w:val="00C01F1F"/>
    <w:rsid w:val="00C122C2"/>
    <w:rsid w:val="00C267CA"/>
    <w:rsid w:val="00C36F3A"/>
    <w:rsid w:val="00C550B7"/>
    <w:rsid w:val="00C90753"/>
    <w:rsid w:val="00C941CB"/>
    <w:rsid w:val="00CB2F02"/>
    <w:rsid w:val="00CC159B"/>
    <w:rsid w:val="00CD6989"/>
    <w:rsid w:val="00CE291C"/>
    <w:rsid w:val="00D0530D"/>
    <w:rsid w:val="00D07E0C"/>
    <w:rsid w:val="00D22DF1"/>
    <w:rsid w:val="00D277D5"/>
    <w:rsid w:val="00D4476A"/>
    <w:rsid w:val="00D45E98"/>
    <w:rsid w:val="00D51EFE"/>
    <w:rsid w:val="00D670E8"/>
    <w:rsid w:val="00D7112E"/>
    <w:rsid w:val="00D74914"/>
    <w:rsid w:val="00D75B1F"/>
    <w:rsid w:val="00DB363B"/>
    <w:rsid w:val="00DB3F5B"/>
    <w:rsid w:val="00DC21DE"/>
    <w:rsid w:val="00DC2A45"/>
    <w:rsid w:val="00DC4672"/>
    <w:rsid w:val="00DC4841"/>
    <w:rsid w:val="00DD483E"/>
    <w:rsid w:val="00DD5CA5"/>
    <w:rsid w:val="00DE6337"/>
    <w:rsid w:val="00E01EE1"/>
    <w:rsid w:val="00E0324B"/>
    <w:rsid w:val="00E362FC"/>
    <w:rsid w:val="00E40937"/>
    <w:rsid w:val="00E412F3"/>
    <w:rsid w:val="00E46E79"/>
    <w:rsid w:val="00E63A18"/>
    <w:rsid w:val="00E813EF"/>
    <w:rsid w:val="00E85143"/>
    <w:rsid w:val="00EA3B6C"/>
    <w:rsid w:val="00EA5C52"/>
    <w:rsid w:val="00EA7452"/>
    <w:rsid w:val="00EB23E7"/>
    <w:rsid w:val="00EB6F04"/>
    <w:rsid w:val="00ED46DB"/>
    <w:rsid w:val="00EF21BC"/>
    <w:rsid w:val="00F05B94"/>
    <w:rsid w:val="00F12B31"/>
    <w:rsid w:val="00F157F0"/>
    <w:rsid w:val="00F667F8"/>
    <w:rsid w:val="00F716C7"/>
    <w:rsid w:val="00F85E7A"/>
    <w:rsid w:val="00FA6D78"/>
    <w:rsid w:val="00FB18AC"/>
    <w:rsid w:val="00FB2194"/>
    <w:rsid w:val="00FB6088"/>
    <w:rsid w:val="00FC1E79"/>
    <w:rsid w:val="00FE0E36"/>
    <w:rsid w:val="00FE25D4"/>
    <w:rsid w:val="00FE2A22"/>
    <w:rsid w:val="00FF2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897B2-9B2C-4DDE-801D-44DA6E6C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4D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4D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74D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4D2A"/>
    <w:rPr>
      <w:rFonts w:ascii="Times New Roman" w:hAnsi="Times New Roman" w:cs="Times New Roman"/>
      <w:b/>
      <w:bCs/>
      <w:sz w:val="24"/>
      <w:szCs w:val="24"/>
    </w:rPr>
  </w:style>
  <w:style w:type="paragraph" w:styleId="ListParagraph">
    <w:name w:val="List Paragraph"/>
    <w:basedOn w:val="Normal"/>
    <w:uiPriority w:val="34"/>
    <w:qFormat/>
    <w:rsid w:val="00FE2A22"/>
    <w:pPr>
      <w:numPr>
        <w:numId w:val="2"/>
      </w:numPr>
      <w:spacing w:before="120" w:after="120" w:line="360" w:lineRule="auto"/>
      <w:jc w:val="both"/>
    </w:pPr>
  </w:style>
  <w:style w:type="paragraph" w:styleId="NoSpacing">
    <w:name w:val="No Spacing"/>
    <w:uiPriority w:val="1"/>
    <w:qFormat/>
    <w:rsid w:val="00374D2A"/>
    <w:pPr>
      <w:spacing w:after="0" w:line="240" w:lineRule="auto"/>
    </w:pPr>
  </w:style>
  <w:style w:type="character" w:customStyle="1" w:styleId="Heading1Char">
    <w:name w:val="Heading 1 Char"/>
    <w:basedOn w:val="DefaultParagraphFont"/>
    <w:link w:val="Heading1"/>
    <w:uiPriority w:val="9"/>
    <w:rsid w:val="00374D2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4D2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74D2A"/>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374D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4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4D2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74D2A"/>
    <w:rPr>
      <w:rFonts w:eastAsiaTheme="minorEastAsia"/>
      <w:color w:val="5A5A5A" w:themeColor="text1" w:themeTint="A5"/>
      <w:spacing w:val="15"/>
    </w:rPr>
  </w:style>
  <w:style w:type="character" w:styleId="Emphasis">
    <w:name w:val="Emphasis"/>
    <w:basedOn w:val="DefaultParagraphFont"/>
    <w:uiPriority w:val="20"/>
    <w:qFormat/>
    <w:rsid w:val="00374D2A"/>
    <w:rPr>
      <w:i/>
      <w:iCs/>
    </w:rPr>
  </w:style>
  <w:style w:type="character" w:styleId="IntenseEmphasis">
    <w:name w:val="Intense Emphasis"/>
    <w:basedOn w:val="DefaultParagraphFont"/>
    <w:uiPriority w:val="21"/>
    <w:qFormat/>
    <w:rsid w:val="00374D2A"/>
    <w:rPr>
      <w:i/>
      <w:iCs/>
      <w:color w:val="5B9BD5" w:themeColor="accent1"/>
    </w:rPr>
  </w:style>
  <w:style w:type="paragraph" w:styleId="Header">
    <w:name w:val="header"/>
    <w:basedOn w:val="Normal"/>
    <w:link w:val="HeaderChar"/>
    <w:uiPriority w:val="99"/>
    <w:unhideWhenUsed/>
    <w:rsid w:val="00335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35A"/>
  </w:style>
  <w:style w:type="paragraph" w:styleId="Footer">
    <w:name w:val="footer"/>
    <w:basedOn w:val="Normal"/>
    <w:link w:val="FooterChar"/>
    <w:uiPriority w:val="99"/>
    <w:unhideWhenUsed/>
    <w:rsid w:val="00335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35A"/>
  </w:style>
  <w:style w:type="paragraph" w:styleId="FootnoteText">
    <w:name w:val="footnote text"/>
    <w:basedOn w:val="Normal"/>
    <w:link w:val="FootnoteTextChar"/>
    <w:uiPriority w:val="99"/>
    <w:semiHidden/>
    <w:unhideWhenUsed/>
    <w:rsid w:val="00AB2C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2C47"/>
    <w:rPr>
      <w:sz w:val="20"/>
      <w:szCs w:val="20"/>
    </w:rPr>
  </w:style>
  <w:style w:type="character" w:styleId="FootnoteReference">
    <w:name w:val="footnote reference"/>
    <w:basedOn w:val="DefaultParagraphFont"/>
    <w:uiPriority w:val="99"/>
    <w:semiHidden/>
    <w:unhideWhenUsed/>
    <w:rsid w:val="00AB2C47"/>
    <w:rPr>
      <w:vertAlign w:val="superscript"/>
    </w:rPr>
  </w:style>
  <w:style w:type="character" w:styleId="Hyperlink">
    <w:name w:val="Hyperlink"/>
    <w:basedOn w:val="DefaultParagraphFont"/>
    <w:uiPriority w:val="99"/>
    <w:unhideWhenUsed/>
    <w:rsid w:val="006443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C34BB-45CF-4BB1-B173-7BBF591B8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Evans</dc:creator>
  <cp:keywords/>
  <dc:description/>
  <cp:lastModifiedBy>Colin West</cp:lastModifiedBy>
  <cp:revision>2</cp:revision>
  <dcterms:created xsi:type="dcterms:W3CDTF">2016-12-08T12:46:00Z</dcterms:created>
  <dcterms:modified xsi:type="dcterms:W3CDTF">2016-12-08T12:46:00Z</dcterms:modified>
</cp:coreProperties>
</file>